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7F" w:rsidRPr="00E47362" w:rsidRDefault="004B217F" w:rsidP="002F39D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Bold" w:eastAsia="Times New Roman Bold" w:hAnsi="Times New Roman Bold" w:cs="Times New Roman Bold"/>
          <w:lang w:val="lt-LT"/>
        </w:rPr>
      </w:pPr>
    </w:p>
    <w:p w:rsidR="0032625D" w:rsidRPr="00E47362" w:rsidRDefault="002677AA" w:rsidP="0032625D">
      <w:pPr>
        <w:jc w:val="center"/>
        <w:rPr>
          <w:rFonts w:eastAsia="Calibri"/>
          <w:b/>
          <w:lang w:val="lt-LT"/>
        </w:rPr>
      </w:pPr>
      <w:r w:rsidRPr="00E47362">
        <w:rPr>
          <w:rFonts w:eastAsia="Calibri"/>
          <w:b/>
          <w:lang w:val="lt-LT"/>
        </w:rPr>
        <w:t>2021</w:t>
      </w:r>
      <w:r w:rsidR="0032625D" w:rsidRPr="00E47362">
        <w:rPr>
          <w:rFonts w:eastAsia="Calibri"/>
          <w:b/>
          <w:lang w:val="lt-LT"/>
        </w:rPr>
        <w:t xml:space="preserve"> M. </w:t>
      </w:r>
      <w:r w:rsidR="007327EE">
        <w:rPr>
          <w:rFonts w:eastAsia="Calibri"/>
          <w:b/>
          <w:lang w:val="lt-LT"/>
        </w:rPr>
        <w:t>LAPKRIČIO 9</w:t>
      </w:r>
      <w:r w:rsidRPr="00E47362">
        <w:rPr>
          <w:rFonts w:eastAsia="Calibri"/>
          <w:b/>
          <w:lang w:val="lt-LT"/>
        </w:rPr>
        <w:t xml:space="preserve"> D. </w:t>
      </w:r>
      <w:r w:rsidR="0032625D" w:rsidRPr="00E47362">
        <w:rPr>
          <w:rFonts w:eastAsia="Calibri"/>
          <w:b/>
          <w:lang w:val="lt-LT"/>
        </w:rPr>
        <w:t xml:space="preserve">EUROPOS SĄJUNGOS EKONOMIKOS IR FINANSŲ REIKALŲ TARYBOS (ECOFIN) </w:t>
      </w:r>
      <w:r w:rsidR="00A43544">
        <w:rPr>
          <w:rFonts w:eastAsia="Calibri"/>
          <w:b/>
          <w:lang w:val="lt-LT"/>
        </w:rPr>
        <w:t>SUSITIKIMAS</w:t>
      </w:r>
    </w:p>
    <w:p w:rsidR="004B217F" w:rsidRPr="00E47362" w:rsidRDefault="004B217F">
      <w:pPr>
        <w:pStyle w:val="BodyA"/>
        <w:rPr>
          <w:rFonts w:ascii="Times New Roman Bold" w:eastAsia="Times New Roman Bold" w:hAnsi="Times New Roman Bold" w:cs="Times New Roman Bold"/>
          <w:lang w:val="lt-LT"/>
        </w:rPr>
      </w:pPr>
    </w:p>
    <w:p w:rsidR="004B217F" w:rsidRPr="00E47362" w:rsidRDefault="004B217F" w:rsidP="00BA186A">
      <w:pPr>
        <w:pStyle w:val="BodyA"/>
        <w:jc w:val="center"/>
        <w:rPr>
          <w:rFonts w:ascii="Times New Roman Bold"/>
          <w:caps/>
          <w:lang w:val="lt-LT"/>
        </w:rPr>
      </w:pPr>
    </w:p>
    <w:tbl>
      <w:tblPr>
        <w:tblW w:w="1017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78"/>
      </w:tblGrid>
      <w:tr w:rsidR="004B217F" w:rsidRPr="005D3625" w:rsidTr="00191C42">
        <w:trPr>
          <w:trHeight w:val="908"/>
        </w:trPr>
        <w:tc>
          <w:tcPr>
            <w:tcW w:w="101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9C6662" w:rsidRPr="008419A6" w:rsidRDefault="0032625D" w:rsidP="00A32B88">
            <w:pPr>
              <w:pStyle w:val="BodyA"/>
              <w:jc w:val="both"/>
              <w:rPr>
                <w:rFonts w:hAnsi="Times New Roman" w:cs="Times New Roman"/>
                <w:b/>
                <w:lang w:val="lt-LT"/>
              </w:rPr>
            </w:pPr>
            <w:r w:rsidRPr="008419A6">
              <w:rPr>
                <w:rFonts w:hAnsi="Times New Roman" w:cs="Times New Roman"/>
                <w:b/>
                <w:lang w:val="lt-LT"/>
              </w:rPr>
              <w:t>1.</w:t>
            </w:r>
            <w:r w:rsidR="003A34D7" w:rsidRPr="008419A6">
              <w:rPr>
                <w:rFonts w:hAnsi="Times New Roman" w:cs="Times New Roman"/>
                <w:b/>
                <w:lang w:val="lt-LT"/>
              </w:rPr>
              <w:t xml:space="preserve"> </w:t>
            </w:r>
            <w:r w:rsidR="00A32B88" w:rsidRPr="00A32B88">
              <w:rPr>
                <w:rFonts w:hAnsi="Times New Roman" w:cs="Times New Roman"/>
                <w:b/>
                <w:lang w:val="lt-LT"/>
              </w:rPr>
              <w:t>Susitarimo „Bazelis III“ įgyvendi</w:t>
            </w:r>
            <w:r w:rsidR="00A32B88">
              <w:rPr>
                <w:rFonts w:hAnsi="Times New Roman" w:cs="Times New Roman"/>
                <w:b/>
                <w:lang w:val="lt-LT"/>
              </w:rPr>
              <w:t>nimas</w:t>
            </w:r>
            <w:r w:rsidR="00A32B88" w:rsidRPr="00A32B88">
              <w:rPr>
                <w:rFonts w:hAnsi="Times New Roman" w:cs="Times New Roman"/>
                <w:b/>
                <w:lang w:val="lt-LT"/>
              </w:rPr>
              <w:t xml:space="preserve"> </w:t>
            </w:r>
            <w:r w:rsidR="009C6662" w:rsidRPr="008419A6">
              <w:rPr>
                <w:rFonts w:hAnsi="Times New Roman" w:cs="Times New Roman"/>
                <w:lang w:val="lt-LT"/>
              </w:rPr>
              <w:t>(</w:t>
            </w:r>
            <w:r w:rsidR="00C70F7A" w:rsidRPr="008419A6">
              <w:rPr>
                <w:rFonts w:hAnsi="Times New Roman" w:cs="Times New Roman"/>
                <w:i/>
                <w:lang w:val="lt-LT"/>
              </w:rPr>
              <w:t>Politinės diskusijos</w:t>
            </w:r>
            <w:r w:rsidR="009C6662" w:rsidRPr="008419A6">
              <w:rPr>
                <w:rFonts w:hAnsi="Times New Roman" w:cs="Times New Roman"/>
                <w:lang w:val="lt-LT"/>
              </w:rPr>
              <w:t>)</w:t>
            </w:r>
          </w:p>
          <w:p w:rsidR="003E215F" w:rsidRPr="003E215F" w:rsidRDefault="00FD34ED" w:rsidP="003E215F">
            <w:pPr>
              <w:pStyle w:val="BodyA"/>
              <w:jc w:val="both"/>
              <w:rPr>
                <w:rFonts w:hAnsi="Times New Roman" w:cs="Times New Roman"/>
                <w:lang w:val="lt-LT"/>
              </w:rPr>
            </w:pPr>
            <w:r w:rsidRPr="008419A6">
              <w:rPr>
                <w:rFonts w:hAnsi="Times New Roman" w:cs="Times New Roman"/>
                <w:b/>
                <w:u w:val="single"/>
                <w:lang w:val="lt-LT"/>
              </w:rPr>
              <w:t>Klausimo esmė:</w:t>
            </w:r>
            <w:r w:rsidR="00EE1216" w:rsidRPr="008419A6">
              <w:rPr>
                <w:rFonts w:hAnsi="Times New Roman" w:cs="Times New Roman"/>
                <w:lang w:val="lt-LT"/>
              </w:rPr>
              <w:t xml:space="preserve"> </w:t>
            </w:r>
            <w:r w:rsidR="003E215F" w:rsidRPr="003E215F">
              <w:rPr>
                <w:rFonts w:hAnsi="Times New Roman" w:cs="Times New Roman"/>
                <w:lang w:val="lt-LT"/>
              </w:rPr>
              <w:t>Lapkričio 8 d. ECOFIN posėdyje vyks politiniai debatai dėl „</w:t>
            </w:r>
            <w:proofErr w:type="spellStart"/>
            <w:r w:rsidR="003E215F" w:rsidRPr="003E215F">
              <w:rPr>
                <w:rFonts w:hAnsi="Times New Roman" w:cs="Times New Roman"/>
                <w:lang w:val="lt-LT"/>
              </w:rPr>
              <w:t>Basel</w:t>
            </w:r>
            <w:proofErr w:type="spellEnd"/>
            <w:r w:rsidR="003E215F" w:rsidRPr="003E215F">
              <w:rPr>
                <w:rFonts w:hAnsi="Times New Roman" w:cs="Times New Roman"/>
                <w:lang w:val="lt-LT"/>
              </w:rPr>
              <w:t xml:space="preserve"> III“ pasi</w:t>
            </w:r>
            <w:r w:rsidR="003E215F" w:rsidRPr="003E215F">
              <w:rPr>
                <w:rFonts w:hAnsi="Times New Roman" w:cs="Times New Roman"/>
                <w:lang w:val="lt-LT"/>
              </w:rPr>
              <w:t>ū</w:t>
            </w:r>
            <w:r w:rsidR="003E215F" w:rsidRPr="003E215F">
              <w:rPr>
                <w:rFonts w:hAnsi="Times New Roman" w:cs="Times New Roman"/>
                <w:lang w:val="lt-LT"/>
              </w:rPr>
              <w:t xml:space="preserve">lymo, kurį Europos Komisija </w:t>
            </w:r>
            <w:r w:rsidR="003E215F">
              <w:rPr>
                <w:rFonts w:hAnsi="Times New Roman" w:cs="Times New Roman"/>
                <w:lang w:val="lt-LT"/>
              </w:rPr>
              <w:t xml:space="preserve">(toliau – EK) </w:t>
            </w:r>
            <w:r w:rsidR="003E215F" w:rsidRPr="003E215F">
              <w:rPr>
                <w:rFonts w:hAnsi="Times New Roman" w:cs="Times New Roman"/>
                <w:lang w:val="lt-LT"/>
              </w:rPr>
              <w:t>oficialia</w:t>
            </w:r>
            <w:r w:rsidR="003E215F">
              <w:rPr>
                <w:rFonts w:hAnsi="Times New Roman" w:cs="Times New Roman"/>
                <w:lang w:val="lt-LT"/>
              </w:rPr>
              <w:t xml:space="preserve">i pateikė 2021 m. spalio 27 d. </w:t>
            </w:r>
            <w:r w:rsidR="003E215F" w:rsidRPr="003E215F">
              <w:rPr>
                <w:rFonts w:hAnsi="Times New Roman" w:cs="Times New Roman"/>
                <w:lang w:val="lt-LT"/>
              </w:rPr>
              <w:t>„</w:t>
            </w:r>
            <w:proofErr w:type="spellStart"/>
            <w:r w:rsidR="003E215F" w:rsidRPr="003E215F">
              <w:rPr>
                <w:rFonts w:hAnsi="Times New Roman" w:cs="Times New Roman"/>
                <w:lang w:val="lt-LT"/>
              </w:rPr>
              <w:t>Basel</w:t>
            </w:r>
            <w:proofErr w:type="spellEnd"/>
            <w:r w:rsidR="003E215F" w:rsidRPr="003E215F">
              <w:rPr>
                <w:rFonts w:hAnsi="Times New Roman" w:cs="Times New Roman"/>
                <w:lang w:val="lt-LT"/>
              </w:rPr>
              <w:t xml:space="preserve"> III“ p</w:t>
            </w:r>
            <w:r w:rsidR="003E215F" w:rsidRPr="003E215F">
              <w:rPr>
                <w:rFonts w:hAnsi="Times New Roman" w:cs="Times New Roman"/>
                <w:lang w:val="lt-LT"/>
              </w:rPr>
              <w:t>a</w:t>
            </w:r>
            <w:r w:rsidR="003E215F" w:rsidRPr="003E215F">
              <w:rPr>
                <w:rFonts w:hAnsi="Times New Roman" w:cs="Times New Roman"/>
                <w:lang w:val="lt-LT"/>
              </w:rPr>
              <w:t>ketą, kitaip dar vadinamą Bankų paketu 2021, sudaro 3 pasiūlymai:</w:t>
            </w:r>
          </w:p>
          <w:p w:rsidR="003E215F" w:rsidRPr="003E215F" w:rsidRDefault="003E215F" w:rsidP="003E215F">
            <w:pPr>
              <w:pStyle w:val="BodyA"/>
              <w:tabs>
                <w:tab w:val="left" w:pos="318"/>
              </w:tabs>
              <w:jc w:val="both"/>
              <w:rPr>
                <w:rFonts w:hAnsi="Times New Roman" w:cs="Times New Roman"/>
                <w:lang w:val="lt-LT"/>
              </w:rPr>
            </w:pPr>
            <w:r w:rsidRPr="003E215F">
              <w:rPr>
                <w:rFonts w:hAnsi="Times New Roman" w:cs="Times New Roman"/>
                <w:lang w:val="lt-LT"/>
              </w:rPr>
              <w:t>1)</w:t>
            </w:r>
            <w:r w:rsidRPr="003E215F">
              <w:rPr>
                <w:rFonts w:hAnsi="Times New Roman" w:cs="Times New Roman"/>
                <w:lang w:val="lt-LT"/>
              </w:rPr>
              <w:tab/>
              <w:t>Pasiūlymas dėl Europos Parlamento ir Tarybos direktyvos 2013/36/ES pakeitimo dėl priežiūros g</w:t>
            </w:r>
            <w:r w:rsidRPr="003E215F">
              <w:rPr>
                <w:rFonts w:hAnsi="Times New Roman" w:cs="Times New Roman"/>
                <w:lang w:val="lt-LT"/>
              </w:rPr>
              <w:t>a</w:t>
            </w:r>
            <w:r w:rsidRPr="003E215F">
              <w:rPr>
                <w:rFonts w:hAnsi="Times New Roman" w:cs="Times New Roman"/>
                <w:lang w:val="lt-LT"/>
              </w:rPr>
              <w:t>lių, sankcijų, trečiųjų valstybių filialų ir aplinkosaugos, socialinės atsakomybės bei gerosios valdysenos elementų rizikos ir Direktyvos 2014/59/ES pakeitimo;</w:t>
            </w:r>
          </w:p>
          <w:p w:rsidR="003E215F" w:rsidRPr="003E215F" w:rsidRDefault="003E215F" w:rsidP="003E215F">
            <w:pPr>
              <w:pStyle w:val="BodyA"/>
              <w:tabs>
                <w:tab w:val="left" w:pos="318"/>
              </w:tabs>
              <w:jc w:val="both"/>
              <w:rPr>
                <w:rFonts w:hAnsi="Times New Roman" w:cs="Times New Roman"/>
                <w:lang w:val="lt-LT"/>
              </w:rPr>
            </w:pPr>
            <w:r w:rsidRPr="003E215F">
              <w:rPr>
                <w:rFonts w:hAnsi="Times New Roman" w:cs="Times New Roman"/>
                <w:lang w:val="lt-LT"/>
              </w:rPr>
              <w:t>2)</w:t>
            </w:r>
            <w:r w:rsidRPr="003E215F">
              <w:rPr>
                <w:rFonts w:hAnsi="Times New Roman" w:cs="Times New Roman"/>
                <w:lang w:val="lt-LT"/>
              </w:rPr>
              <w:tab/>
              <w:t xml:space="preserve">Pasiūlymas dėl Europos Parlamento ir Tarybos Reglamento (ES) Nr. 575/2013 pakeitimo dėl kredito </w:t>
            </w:r>
            <w:proofErr w:type="spellStart"/>
            <w:r w:rsidRPr="003E215F">
              <w:rPr>
                <w:rFonts w:hAnsi="Times New Roman" w:cs="Times New Roman"/>
                <w:lang w:val="lt-LT"/>
              </w:rPr>
              <w:t>rizikų</w:t>
            </w:r>
            <w:proofErr w:type="spellEnd"/>
            <w:r w:rsidRPr="003E215F">
              <w:rPr>
                <w:rFonts w:hAnsi="Times New Roman" w:cs="Times New Roman"/>
                <w:lang w:val="lt-LT"/>
              </w:rPr>
              <w:t>, kredito vertinimo koregavimo rizikos, operacinės rizikos, rinkų rizikos ir išvesties žemutinės ribos;</w:t>
            </w:r>
          </w:p>
          <w:p w:rsidR="003E215F" w:rsidRPr="003E215F" w:rsidRDefault="003E215F" w:rsidP="003E215F">
            <w:pPr>
              <w:pStyle w:val="BodyA"/>
              <w:tabs>
                <w:tab w:val="left" w:pos="318"/>
              </w:tabs>
              <w:jc w:val="both"/>
              <w:rPr>
                <w:rFonts w:hAnsi="Times New Roman" w:cs="Times New Roman"/>
                <w:lang w:val="lt-LT"/>
              </w:rPr>
            </w:pPr>
            <w:r w:rsidRPr="003E215F">
              <w:rPr>
                <w:rFonts w:hAnsi="Times New Roman" w:cs="Times New Roman"/>
                <w:lang w:val="lt-LT"/>
              </w:rPr>
              <w:t>3)</w:t>
            </w:r>
            <w:r w:rsidRPr="003E215F">
              <w:rPr>
                <w:rFonts w:hAnsi="Times New Roman" w:cs="Times New Roman"/>
                <w:lang w:val="lt-LT"/>
              </w:rPr>
              <w:tab/>
              <w:t xml:space="preserve">Pasiūlymas dėl Europos Parlamento ir Tarybos Reglamento (ES) Nr. 575/2013 ir Direktyvos 2014/59/ES pakeitimo dėl </w:t>
            </w:r>
            <w:proofErr w:type="spellStart"/>
            <w:r w:rsidRPr="003E215F">
              <w:rPr>
                <w:rFonts w:hAnsi="Times New Roman" w:cs="Times New Roman"/>
                <w:lang w:val="lt-LT"/>
              </w:rPr>
              <w:t>prudencinių</w:t>
            </w:r>
            <w:proofErr w:type="spellEnd"/>
            <w:r w:rsidRPr="003E215F">
              <w:rPr>
                <w:rFonts w:hAnsi="Times New Roman" w:cs="Times New Roman"/>
                <w:lang w:val="lt-LT"/>
              </w:rPr>
              <w:t xml:space="preserve"> reikalavimų taikymo tvarkos pasaulinės sisteminės svarbos įm</w:t>
            </w:r>
            <w:r w:rsidRPr="003E215F">
              <w:rPr>
                <w:rFonts w:hAnsi="Times New Roman" w:cs="Times New Roman"/>
                <w:lang w:val="lt-LT"/>
              </w:rPr>
              <w:t>o</w:t>
            </w:r>
            <w:r w:rsidRPr="003E215F">
              <w:rPr>
                <w:rFonts w:hAnsi="Times New Roman" w:cs="Times New Roman"/>
                <w:lang w:val="lt-LT"/>
              </w:rPr>
              <w:t>nių grupėms su vienalaikėmis grupės dalies pertvarkymo strategijomis (</w:t>
            </w:r>
            <w:proofErr w:type="spellStart"/>
            <w:r w:rsidRPr="003E215F">
              <w:rPr>
                <w:rFonts w:hAnsi="Times New Roman" w:cs="Times New Roman"/>
                <w:i/>
                <w:lang w:val="lt-LT"/>
              </w:rPr>
              <w:t>Multiple</w:t>
            </w:r>
            <w:proofErr w:type="spellEnd"/>
            <w:r w:rsidRPr="003E215F">
              <w:rPr>
                <w:rFonts w:hAnsi="Times New Roman" w:cs="Times New Roman"/>
                <w:i/>
                <w:lang w:val="lt-LT"/>
              </w:rPr>
              <w:t xml:space="preserve"> </w:t>
            </w:r>
            <w:proofErr w:type="spellStart"/>
            <w:r w:rsidRPr="003E215F">
              <w:rPr>
                <w:rFonts w:hAnsi="Times New Roman" w:cs="Times New Roman"/>
                <w:i/>
                <w:lang w:val="lt-LT"/>
              </w:rPr>
              <w:t>point</w:t>
            </w:r>
            <w:proofErr w:type="spellEnd"/>
            <w:r w:rsidRPr="003E215F">
              <w:rPr>
                <w:rFonts w:hAnsi="Times New Roman" w:cs="Times New Roman"/>
                <w:i/>
                <w:lang w:val="lt-LT"/>
              </w:rPr>
              <w:t xml:space="preserve"> </w:t>
            </w:r>
            <w:proofErr w:type="spellStart"/>
            <w:r w:rsidRPr="003E215F">
              <w:rPr>
                <w:rFonts w:hAnsi="Times New Roman" w:cs="Times New Roman"/>
                <w:i/>
                <w:lang w:val="lt-LT"/>
              </w:rPr>
              <w:t>of</w:t>
            </w:r>
            <w:proofErr w:type="spellEnd"/>
            <w:r w:rsidRPr="003E215F">
              <w:rPr>
                <w:rFonts w:hAnsi="Times New Roman" w:cs="Times New Roman"/>
                <w:i/>
                <w:lang w:val="lt-LT"/>
              </w:rPr>
              <w:t xml:space="preserve"> </w:t>
            </w:r>
            <w:proofErr w:type="spellStart"/>
            <w:r w:rsidRPr="003E215F">
              <w:rPr>
                <w:rFonts w:hAnsi="Times New Roman" w:cs="Times New Roman"/>
                <w:i/>
                <w:lang w:val="lt-LT"/>
              </w:rPr>
              <w:t>entry</w:t>
            </w:r>
            <w:proofErr w:type="spellEnd"/>
            <w:r w:rsidRPr="003E215F">
              <w:rPr>
                <w:rFonts w:hAnsi="Times New Roman" w:cs="Times New Roman"/>
                <w:lang w:val="lt-LT"/>
              </w:rPr>
              <w:t>) ir pri</w:t>
            </w:r>
            <w:r w:rsidRPr="003E215F">
              <w:rPr>
                <w:rFonts w:hAnsi="Times New Roman" w:cs="Times New Roman"/>
                <w:lang w:val="lt-LT"/>
              </w:rPr>
              <w:t>e</w:t>
            </w:r>
            <w:r w:rsidRPr="003E215F">
              <w:rPr>
                <w:rFonts w:hAnsi="Times New Roman" w:cs="Times New Roman"/>
                <w:lang w:val="lt-LT"/>
              </w:rPr>
              <w:t>monių, tinkamų vykdyti minimalų nuosavų lėšų ir tinkamų įsipareigojimų reikalavimą, netiesioginio įgijimo metodika.</w:t>
            </w:r>
          </w:p>
          <w:p w:rsidR="00406FB1" w:rsidRPr="00E949DE" w:rsidRDefault="003E215F" w:rsidP="003E215F">
            <w:pPr>
              <w:pStyle w:val="BodyA"/>
              <w:jc w:val="both"/>
              <w:rPr>
                <w:rFonts w:hAnsi="Times New Roman" w:cs="Times New Roman"/>
                <w:highlight w:val="yellow"/>
                <w:lang w:val="lt-LT"/>
              </w:rPr>
            </w:pPr>
            <w:r w:rsidRPr="003E215F">
              <w:rPr>
                <w:rFonts w:hAnsi="Times New Roman" w:cs="Times New Roman"/>
                <w:lang w:val="lt-LT"/>
              </w:rPr>
              <w:t xml:space="preserve">Šis pasiūlymas apima išvestinės žemutinės </w:t>
            </w:r>
            <w:r w:rsidR="002A483F">
              <w:rPr>
                <w:rFonts w:hAnsi="Times New Roman" w:cs="Times New Roman"/>
                <w:lang w:val="lt-LT"/>
              </w:rPr>
              <w:t xml:space="preserve">kapitalo </w:t>
            </w:r>
            <w:r w:rsidRPr="003E215F">
              <w:rPr>
                <w:rFonts w:hAnsi="Times New Roman" w:cs="Times New Roman"/>
                <w:lang w:val="lt-LT"/>
              </w:rPr>
              <w:t>ribos taikymo nustatymą, taisykles nereitinguoj</w:t>
            </w:r>
            <w:r w:rsidRPr="003E215F">
              <w:rPr>
                <w:rFonts w:hAnsi="Times New Roman" w:cs="Times New Roman"/>
                <w:lang w:val="lt-LT"/>
              </w:rPr>
              <w:t>a</w:t>
            </w:r>
            <w:r w:rsidRPr="003E215F">
              <w:rPr>
                <w:rFonts w:hAnsi="Times New Roman" w:cs="Times New Roman"/>
                <w:lang w:val="lt-LT"/>
              </w:rPr>
              <w:t>moms įmonėms,  pakeitimus, susijusius su operacine rizika, prekybos knygos fundament</w:t>
            </w:r>
            <w:r w:rsidRPr="003E215F">
              <w:rPr>
                <w:rFonts w:hAnsi="Times New Roman" w:cs="Times New Roman"/>
                <w:lang w:val="lt-LT"/>
              </w:rPr>
              <w:t>a</w:t>
            </w:r>
            <w:r w:rsidRPr="003E215F">
              <w:rPr>
                <w:rFonts w:hAnsi="Times New Roman" w:cs="Times New Roman"/>
                <w:lang w:val="lt-LT"/>
              </w:rPr>
              <w:t xml:space="preserve">lios peržiūros (angl. </w:t>
            </w:r>
            <w:proofErr w:type="spellStart"/>
            <w:r w:rsidRPr="003E215F">
              <w:rPr>
                <w:rFonts w:hAnsi="Times New Roman" w:cs="Times New Roman"/>
                <w:i/>
                <w:lang w:val="lt-LT"/>
              </w:rPr>
              <w:t>Fundamental</w:t>
            </w:r>
            <w:proofErr w:type="spellEnd"/>
            <w:r w:rsidRPr="003E215F">
              <w:rPr>
                <w:rFonts w:hAnsi="Times New Roman" w:cs="Times New Roman"/>
                <w:i/>
                <w:lang w:val="lt-LT"/>
              </w:rPr>
              <w:t xml:space="preserve"> </w:t>
            </w:r>
            <w:proofErr w:type="spellStart"/>
            <w:r w:rsidRPr="003E215F">
              <w:rPr>
                <w:rFonts w:hAnsi="Times New Roman" w:cs="Times New Roman"/>
                <w:i/>
                <w:lang w:val="lt-LT"/>
              </w:rPr>
              <w:t>Review</w:t>
            </w:r>
            <w:proofErr w:type="spellEnd"/>
            <w:r w:rsidRPr="003E215F">
              <w:rPr>
                <w:rFonts w:hAnsi="Times New Roman" w:cs="Times New Roman"/>
                <w:i/>
                <w:lang w:val="lt-LT"/>
              </w:rPr>
              <w:t xml:space="preserve"> </w:t>
            </w:r>
            <w:proofErr w:type="spellStart"/>
            <w:r w:rsidRPr="003E215F">
              <w:rPr>
                <w:rFonts w:hAnsi="Times New Roman" w:cs="Times New Roman"/>
                <w:i/>
                <w:lang w:val="lt-LT"/>
              </w:rPr>
              <w:t>of</w:t>
            </w:r>
            <w:proofErr w:type="spellEnd"/>
            <w:r w:rsidRPr="003E215F">
              <w:rPr>
                <w:rFonts w:hAnsi="Times New Roman" w:cs="Times New Roman"/>
                <w:i/>
                <w:lang w:val="lt-LT"/>
              </w:rPr>
              <w:t xml:space="preserve"> </w:t>
            </w:r>
            <w:proofErr w:type="spellStart"/>
            <w:r w:rsidRPr="003E215F">
              <w:rPr>
                <w:rFonts w:hAnsi="Times New Roman" w:cs="Times New Roman"/>
                <w:i/>
                <w:lang w:val="lt-LT"/>
              </w:rPr>
              <w:t>Trading</w:t>
            </w:r>
            <w:proofErr w:type="spellEnd"/>
            <w:r w:rsidRPr="003E215F">
              <w:rPr>
                <w:rFonts w:hAnsi="Times New Roman" w:cs="Times New Roman"/>
                <w:i/>
                <w:lang w:val="lt-LT"/>
              </w:rPr>
              <w:t xml:space="preserve"> </w:t>
            </w:r>
            <w:proofErr w:type="spellStart"/>
            <w:r w:rsidRPr="003E215F">
              <w:rPr>
                <w:rFonts w:hAnsi="Times New Roman" w:cs="Times New Roman"/>
                <w:i/>
                <w:lang w:val="lt-LT"/>
              </w:rPr>
              <w:t>Book</w:t>
            </w:r>
            <w:proofErr w:type="spellEnd"/>
            <w:r w:rsidRPr="003E215F">
              <w:rPr>
                <w:rFonts w:hAnsi="Times New Roman" w:cs="Times New Roman"/>
                <w:i/>
                <w:lang w:val="lt-LT"/>
              </w:rPr>
              <w:t>, toliau – FRTB</w:t>
            </w:r>
            <w:r w:rsidRPr="003E215F">
              <w:rPr>
                <w:rFonts w:hAnsi="Times New Roman" w:cs="Times New Roman"/>
                <w:lang w:val="lt-LT"/>
              </w:rPr>
              <w:t>) taikymą, patikslintą kredito vertinimo k</w:t>
            </w:r>
            <w:r w:rsidRPr="003E215F">
              <w:rPr>
                <w:rFonts w:hAnsi="Times New Roman" w:cs="Times New Roman"/>
                <w:lang w:val="lt-LT"/>
              </w:rPr>
              <w:t>o</w:t>
            </w:r>
            <w:r w:rsidRPr="003E215F">
              <w:rPr>
                <w:rFonts w:hAnsi="Times New Roman" w:cs="Times New Roman"/>
                <w:lang w:val="lt-LT"/>
              </w:rPr>
              <w:t xml:space="preserve">regavimo tvarką, pakeitimus, susijusius su tvarumo </w:t>
            </w:r>
            <w:proofErr w:type="spellStart"/>
            <w:r w:rsidRPr="003E215F">
              <w:rPr>
                <w:rFonts w:hAnsi="Times New Roman" w:cs="Times New Roman"/>
                <w:lang w:val="lt-LT"/>
              </w:rPr>
              <w:t>rizikomis</w:t>
            </w:r>
            <w:proofErr w:type="spellEnd"/>
            <w:r w:rsidRPr="003E215F">
              <w:rPr>
                <w:rFonts w:hAnsi="Times New Roman" w:cs="Times New Roman"/>
                <w:lang w:val="lt-LT"/>
              </w:rPr>
              <w:t xml:space="preserve"> bankų veikloje</w:t>
            </w:r>
            <w:r w:rsidR="002A483F">
              <w:rPr>
                <w:rFonts w:hAnsi="Times New Roman" w:cs="Times New Roman"/>
                <w:lang w:val="lt-LT"/>
              </w:rPr>
              <w:t xml:space="preserve"> bei</w:t>
            </w:r>
            <w:r w:rsidRPr="003E215F">
              <w:rPr>
                <w:rFonts w:hAnsi="Times New Roman" w:cs="Times New Roman"/>
                <w:lang w:val="lt-LT"/>
              </w:rPr>
              <w:t xml:space="preserve"> patikslinimus dėl tr</w:t>
            </w:r>
            <w:r w:rsidRPr="003E215F">
              <w:rPr>
                <w:rFonts w:hAnsi="Times New Roman" w:cs="Times New Roman"/>
                <w:lang w:val="lt-LT"/>
              </w:rPr>
              <w:t>e</w:t>
            </w:r>
            <w:r w:rsidRPr="003E215F">
              <w:rPr>
                <w:rFonts w:hAnsi="Times New Roman" w:cs="Times New Roman"/>
                <w:lang w:val="lt-LT"/>
              </w:rPr>
              <w:t>čiųjų valstybių filialų priežiūros.</w:t>
            </w:r>
          </w:p>
          <w:p w:rsidR="001B199F" w:rsidRPr="008419A6" w:rsidRDefault="001B199F" w:rsidP="001B199F">
            <w:pPr>
              <w:pStyle w:val="BodyA"/>
              <w:jc w:val="both"/>
              <w:rPr>
                <w:rFonts w:eastAsia="Times New Roman Bold" w:hAnsi="Times New Roman" w:cs="Times New Roman"/>
                <w:u w:val="single"/>
                <w:lang w:val="lt-LT"/>
              </w:rPr>
            </w:pPr>
          </w:p>
          <w:p w:rsidR="00BE1AD4" w:rsidRDefault="00EE1216" w:rsidP="008419A6">
            <w:pPr>
              <w:pStyle w:val="BodyA"/>
              <w:jc w:val="both"/>
              <w:rPr>
                <w:rFonts w:hAnsi="Times New Roman" w:cs="Times New Roman"/>
                <w:lang w:val="lt-LT"/>
              </w:rPr>
            </w:pPr>
            <w:r w:rsidRPr="008419A6">
              <w:rPr>
                <w:rFonts w:hAnsi="Times New Roman" w:cs="Times New Roman"/>
                <w:b/>
                <w:u w:val="single"/>
                <w:lang w:val="lt-LT"/>
              </w:rPr>
              <w:t>Lietuvos pozicija.</w:t>
            </w:r>
            <w:r w:rsidRPr="00A600FE">
              <w:rPr>
                <w:rFonts w:hAnsi="Times New Roman" w:cs="Times New Roman"/>
                <w:lang w:val="lt-LT"/>
              </w:rPr>
              <w:t xml:space="preserve"> </w:t>
            </w:r>
            <w:r w:rsidR="003E215F" w:rsidRPr="003E215F">
              <w:rPr>
                <w:rFonts w:hAnsi="Times New Roman" w:cs="Times New Roman"/>
                <w:lang w:val="lt-LT"/>
              </w:rPr>
              <w:t xml:space="preserve">Pritariame pasiūlymo tikslams ir siekiui įgyvendinti </w:t>
            </w:r>
            <w:proofErr w:type="spellStart"/>
            <w:r w:rsidR="003E215F" w:rsidRPr="003E215F">
              <w:rPr>
                <w:rFonts w:hAnsi="Times New Roman" w:cs="Times New Roman"/>
                <w:lang w:val="lt-LT"/>
              </w:rPr>
              <w:t>Basel</w:t>
            </w:r>
            <w:proofErr w:type="spellEnd"/>
            <w:r w:rsidR="003E215F" w:rsidRPr="003E215F">
              <w:rPr>
                <w:rFonts w:hAnsi="Times New Roman" w:cs="Times New Roman"/>
                <w:lang w:val="lt-LT"/>
              </w:rPr>
              <w:t xml:space="preserve"> III reformą bei taip sti</w:t>
            </w:r>
            <w:r w:rsidR="003E215F" w:rsidRPr="003E215F">
              <w:rPr>
                <w:rFonts w:hAnsi="Times New Roman" w:cs="Times New Roman"/>
                <w:lang w:val="lt-LT"/>
              </w:rPr>
              <w:t>p</w:t>
            </w:r>
            <w:r w:rsidR="003E215F" w:rsidRPr="003E215F">
              <w:rPr>
                <w:rFonts w:hAnsi="Times New Roman" w:cs="Times New Roman"/>
                <w:lang w:val="lt-LT"/>
              </w:rPr>
              <w:t>rinti bankų sektoriaus finansinį stabilumą. Palaikome Prekybos knygos fundamentalios  peržiūros (FRTB) įgyvendinimą, kadangi rizikos ribojimo standartai, susiję su rinkos rizika, jau buvo atidėti ir neturėtų būti ilgiau atidedami, siekiant didesnio api</w:t>
            </w:r>
            <w:r w:rsidR="00743EDA">
              <w:rPr>
                <w:rFonts w:hAnsi="Times New Roman" w:cs="Times New Roman"/>
                <w:lang w:val="lt-LT"/>
              </w:rPr>
              <w:t>brėžtumo. Taip pat palaikome tvarumo</w:t>
            </w:r>
            <w:r w:rsidR="003E215F" w:rsidRPr="003E215F">
              <w:rPr>
                <w:rFonts w:hAnsi="Times New Roman" w:cs="Times New Roman"/>
                <w:lang w:val="lt-LT"/>
              </w:rPr>
              <w:t xml:space="preserve"> rizikos įtra</w:t>
            </w:r>
            <w:r w:rsidR="003E215F" w:rsidRPr="003E215F">
              <w:rPr>
                <w:rFonts w:hAnsi="Times New Roman" w:cs="Times New Roman"/>
                <w:lang w:val="lt-LT"/>
              </w:rPr>
              <w:t>u</w:t>
            </w:r>
            <w:r w:rsidR="003E215F" w:rsidRPr="003E215F">
              <w:rPr>
                <w:rFonts w:hAnsi="Times New Roman" w:cs="Times New Roman"/>
                <w:lang w:val="lt-LT"/>
              </w:rPr>
              <w:t xml:space="preserve">kimo į priežiūrinio tikrinimo ir vertinimo procesą (angl. </w:t>
            </w:r>
            <w:proofErr w:type="spellStart"/>
            <w:r w:rsidR="003E215F" w:rsidRPr="00743EDA">
              <w:rPr>
                <w:rFonts w:hAnsi="Times New Roman" w:cs="Times New Roman"/>
                <w:i/>
                <w:lang w:val="lt-LT"/>
              </w:rPr>
              <w:t>Supervisory</w:t>
            </w:r>
            <w:proofErr w:type="spellEnd"/>
            <w:r w:rsidR="003E215F" w:rsidRPr="00743EDA">
              <w:rPr>
                <w:rFonts w:hAnsi="Times New Roman" w:cs="Times New Roman"/>
                <w:i/>
                <w:lang w:val="lt-LT"/>
              </w:rPr>
              <w:t xml:space="preserve"> </w:t>
            </w:r>
            <w:proofErr w:type="spellStart"/>
            <w:r w:rsidR="003E215F" w:rsidRPr="00743EDA">
              <w:rPr>
                <w:rFonts w:hAnsi="Times New Roman" w:cs="Times New Roman"/>
                <w:i/>
                <w:lang w:val="lt-LT"/>
              </w:rPr>
              <w:t>review</w:t>
            </w:r>
            <w:proofErr w:type="spellEnd"/>
            <w:r w:rsidR="003E215F" w:rsidRPr="00743EDA">
              <w:rPr>
                <w:rFonts w:hAnsi="Times New Roman" w:cs="Times New Roman"/>
                <w:i/>
                <w:lang w:val="lt-LT"/>
              </w:rPr>
              <w:t xml:space="preserve"> </w:t>
            </w:r>
            <w:proofErr w:type="spellStart"/>
            <w:r w:rsidR="003E215F" w:rsidRPr="00743EDA">
              <w:rPr>
                <w:rFonts w:hAnsi="Times New Roman" w:cs="Times New Roman"/>
                <w:i/>
                <w:lang w:val="lt-LT"/>
              </w:rPr>
              <w:t>and</w:t>
            </w:r>
            <w:proofErr w:type="spellEnd"/>
            <w:r w:rsidR="003E215F" w:rsidRPr="00743EDA">
              <w:rPr>
                <w:rFonts w:hAnsi="Times New Roman" w:cs="Times New Roman"/>
                <w:i/>
                <w:lang w:val="lt-LT"/>
              </w:rPr>
              <w:t xml:space="preserve"> </w:t>
            </w:r>
            <w:proofErr w:type="spellStart"/>
            <w:r w:rsidR="003E215F" w:rsidRPr="00743EDA">
              <w:rPr>
                <w:rFonts w:hAnsi="Times New Roman" w:cs="Times New Roman"/>
                <w:i/>
                <w:lang w:val="lt-LT"/>
              </w:rPr>
              <w:t>evaluation</w:t>
            </w:r>
            <w:proofErr w:type="spellEnd"/>
            <w:r w:rsidR="003E215F" w:rsidRPr="00743EDA">
              <w:rPr>
                <w:rFonts w:hAnsi="Times New Roman" w:cs="Times New Roman"/>
                <w:i/>
                <w:lang w:val="lt-LT"/>
              </w:rPr>
              <w:t xml:space="preserve"> </w:t>
            </w:r>
            <w:proofErr w:type="spellStart"/>
            <w:r w:rsidR="003E215F" w:rsidRPr="00743EDA">
              <w:rPr>
                <w:rFonts w:hAnsi="Times New Roman" w:cs="Times New Roman"/>
                <w:i/>
                <w:lang w:val="lt-LT"/>
              </w:rPr>
              <w:t>process</w:t>
            </w:r>
            <w:proofErr w:type="spellEnd"/>
            <w:r w:rsidR="003E215F" w:rsidRPr="00743EDA">
              <w:rPr>
                <w:rFonts w:hAnsi="Times New Roman" w:cs="Times New Roman"/>
                <w:i/>
                <w:lang w:val="lt-LT"/>
              </w:rPr>
              <w:t>, SREP</w:t>
            </w:r>
            <w:r w:rsidR="003E215F" w:rsidRPr="003E215F">
              <w:rPr>
                <w:rFonts w:hAnsi="Times New Roman" w:cs="Times New Roman"/>
                <w:lang w:val="lt-LT"/>
              </w:rPr>
              <w:t>) ir bankų strategijas ir procesus, taip užtikrinant EK tvaraus finansavimo strategijos įgyvendin</w:t>
            </w:r>
            <w:r w:rsidR="003E215F" w:rsidRPr="003E215F">
              <w:rPr>
                <w:rFonts w:hAnsi="Times New Roman" w:cs="Times New Roman"/>
                <w:lang w:val="lt-LT"/>
              </w:rPr>
              <w:t>i</w:t>
            </w:r>
            <w:r w:rsidR="003E215F" w:rsidRPr="003E215F">
              <w:rPr>
                <w:rFonts w:hAnsi="Times New Roman" w:cs="Times New Roman"/>
                <w:lang w:val="lt-LT"/>
              </w:rPr>
              <w:t xml:space="preserve">mą. </w:t>
            </w:r>
            <w:r w:rsidR="002A483F">
              <w:rPr>
                <w:rFonts w:hAnsi="Times New Roman" w:cs="Times New Roman"/>
                <w:lang w:val="lt-LT"/>
              </w:rPr>
              <w:t>T</w:t>
            </w:r>
            <w:r w:rsidR="003E215F" w:rsidRPr="003E215F">
              <w:rPr>
                <w:rFonts w:hAnsi="Times New Roman" w:cs="Times New Roman"/>
                <w:lang w:val="lt-LT"/>
              </w:rPr>
              <w:t xml:space="preserve">urime abejonių dėl išvesties žemutinės </w:t>
            </w:r>
            <w:r w:rsidR="002A483F">
              <w:rPr>
                <w:rFonts w:hAnsi="Times New Roman" w:cs="Times New Roman"/>
                <w:lang w:val="lt-LT"/>
              </w:rPr>
              <w:t xml:space="preserve">kapitalo </w:t>
            </w:r>
            <w:r w:rsidR="003E215F" w:rsidRPr="003E215F">
              <w:rPr>
                <w:rFonts w:hAnsi="Times New Roman" w:cs="Times New Roman"/>
                <w:lang w:val="lt-LT"/>
              </w:rPr>
              <w:t>ribos taikymo ko</w:t>
            </w:r>
            <w:r w:rsidR="003E215F" w:rsidRPr="003E215F">
              <w:rPr>
                <w:rFonts w:hAnsi="Times New Roman" w:cs="Times New Roman"/>
                <w:lang w:val="lt-LT"/>
              </w:rPr>
              <w:t>n</w:t>
            </w:r>
            <w:r w:rsidR="003E215F" w:rsidRPr="003E215F">
              <w:rPr>
                <w:rFonts w:hAnsi="Times New Roman" w:cs="Times New Roman"/>
                <w:lang w:val="lt-LT"/>
              </w:rPr>
              <w:t>soliduotu (grupės) lygiu, o ne visais grupės lygiais. Pritarus pasiūlyme pateiktam konsoliduotam taikymui, nacionalinė priežiūros in</w:t>
            </w:r>
            <w:r w:rsidR="003E215F" w:rsidRPr="003E215F">
              <w:rPr>
                <w:rFonts w:hAnsi="Times New Roman" w:cs="Times New Roman"/>
                <w:lang w:val="lt-LT"/>
              </w:rPr>
              <w:t>s</w:t>
            </w:r>
            <w:r w:rsidR="003E215F" w:rsidRPr="003E215F">
              <w:rPr>
                <w:rFonts w:hAnsi="Times New Roman" w:cs="Times New Roman"/>
                <w:lang w:val="lt-LT"/>
              </w:rPr>
              <w:t>titucija, atliekanti individualią banko, priklausančio bankų grupei, priežiūrą negalės matyti, ar jos juri</w:t>
            </w:r>
            <w:r w:rsidR="003E215F" w:rsidRPr="003E215F">
              <w:rPr>
                <w:rFonts w:hAnsi="Times New Roman" w:cs="Times New Roman"/>
                <w:lang w:val="lt-LT"/>
              </w:rPr>
              <w:t>s</w:t>
            </w:r>
            <w:r w:rsidR="003E215F" w:rsidRPr="003E215F">
              <w:rPr>
                <w:rFonts w:hAnsi="Times New Roman" w:cs="Times New Roman"/>
                <w:lang w:val="lt-LT"/>
              </w:rPr>
              <w:t>dikcijoje veikiantis bankas turi pakankamai kapitalo taikant naujus Bazelio III reikalavimus ir negalės užtikrinti, kad bankas turėtų pakankamai kapitalo rizikai padengti.</w:t>
            </w:r>
            <w:r w:rsidR="00743EDA">
              <w:t xml:space="preserve"> </w:t>
            </w:r>
            <w:proofErr w:type="spellStart"/>
            <w:r w:rsidR="00743EDA" w:rsidRPr="00743EDA">
              <w:rPr>
                <w:rFonts w:hAnsi="Times New Roman" w:cs="Times New Roman"/>
                <w:i/>
                <w:u w:val="single"/>
              </w:rPr>
              <w:t>Pažymėtina</w:t>
            </w:r>
            <w:proofErr w:type="spellEnd"/>
            <w:r w:rsidR="00743EDA" w:rsidRPr="00743EDA">
              <w:rPr>
                <w:rFonts w:hAnsi="Times New Roman" w:cs="Times New Roman"/>
                <w:i/>
                <w:u w:val="single"/>
              </w:rPr>
              <w:t xml:space="preserve">, </w:t>
            </w:r>
            <w:proofErr w:type="spellStart"/>
            <w:r w:rsidR="00743EDA" w:rsidRPr="00743EDA">
              <w:rPr>
                <w:rFonts w:hAnsi="Times New Roman" w:cs="Times New Roman"/>
                <w:i/>
                <w:u w:val="single"/>
              </w:rPr>
              <w:t>kad</w:t>
            </w:r>
            <w:proofErr w:type="spellEnd"/>
            <w:r w:rsidR="00743EDA" w:rsidRPr="00743EDA">
              <w:rPr>
                <w:rFonts w:hAnsi="Times New Roman" w:cs="Times New Roman"/>
                <w:i/>
                <w:u w:val="single"/>
              </w:rPr>
              <w:t xml:space="preserve"> </w:t>
            </w:r>
            <w:r w:rsidR="00743EDA" w:rsidRPr="00743EDA">
              <w:rPr>
                <w:rFonts w:hAnsi="Times New Roman" w:cs="Times New Roman"/>
                <w:i/>
                <w:u w:val="single"/>
                <w:lang w:val="lt-LT"/>
              </w:rPr>
              <w:t>tai yra pirminė p</w:t>
            </w:r>
            <w:r w:rsidR="00743EDA" w:rsidRPr="00743EDA">
              <w:rPr>
                <w:rFonts w:hAnsi="Times New Roman" w:cs="Times New Roman"/>
                <w:i/>
                <w:u w:val="single"/>
                <w:lang w:val="lt-LT"/>
              </w:rPr>
              <w:t>o</w:t>
            </w:r>
            <w:r w:rsidR="00743EDA" w:rsidRPr="00743EDA">
              <w:rPr>
                <w:rFonts w:hAnsi="Times New Roman" w:cs="Times New Roman"/>
                <w:i/>
                <w:u w:val="single"/>
                <w:lang w:val="lt-LT"/>
              </w:rPr>
              <w:t>zicija, kuri dar nėra suderinta su suinter</w:t>
            </w:r>
            <w:r w:rsidR="00743EDA" w:rsidRPr="00743EDA">
              <w:rPr>
                <w:rFonts w:hAnsi="Times New Roman" w:cs="Times New Roman"/>
                <w:i/>
                <w:u w:val="single"/>
                <w:lang w:val="lt-LT"/>
              </w:rPr>
              <w:t>e</w:t>
            </w:r>
            <w:r w:rsidR="00743EDA" w:rsidRPr="00743EDA">
              <w:rPr>
                <w:rFonts w:hAnsi="Times New Roman" w:cs="Times New Roman"/>
                <w:i/>
                <w:u w:val="single"/>
                <w:lang w:val="lt-LT"/>
              </w:rPr>
              <w:t>suotomis institucijomis, todėl dar gali keistis.</w:t>
            </w:r>
          </w:p>
          <w:p w:rsidR="007F5B19" w:rsidRPr="00E47362" w:rsidRDefault="007F5B19" w:rsidP="003A34D7">
            <w:pPr>
              <w:pStyle w:val="BodyA"/>
              <w:jc w:val="both"/>
              <w:rPr>
                <w:rFonts w:hAnsi="Times New Roman" w:cs="Times New Roman"/>
                <w:lang w:val="lt-LT"/>
              </w:rPr>
            </w:pPr>
          </w:p>
          <w:p w:rsidR="00A32B88" w:rsidRDefault="0032625D" w:rsidP="00A32B88">
            <w:pPr>
              <w:pStyle w:val="BodyA"/>
              <w:jc w:val="both"/>
              <w:rPr>
                <w:rFonts w:hAnsi="Times New Roman" w:cs="Times New Roman"/>
                <w:b/>
                <w:lang w:val="lt-LT"/>
              </w:rPr>
            </w:pPr>
            <w:r w:rsidRPr="00E47362">
              <w:rPr>
                <w:rFonts w:hAnsi="Times New Roman" w:cs="Times New Roman"/>
                <w:b/>
                <w:lang w:val="lt-LT"/>
              </w:rPr>
              <w:t>2</w:t>
            </w:r>
            <w:r w:rsidRPr="003F4CE0">
              <w:rPr>
                <w:rFonts w:hAnsi="Times New Roman" w:cs="Times New Roman"/>
                <w:b/>
                <w:lang w:val="lt-LT"/>
              </w:rPr>
              <w:t xml:space="preserve">. </w:t>
            </w:r>
            <w:r w:rsidR="00A32B88" w:rsidRPr="00A32B88">
              <w:rPr>
                <w:rFonts w:hAnsi="Times New Roman" w:cs="Times New Roman"/>
                <w:b/>
                <w:lang w:val="lt-LT"/>
              </w:rPr>
              <w:t>ES ekonomika po COVID-1</w:t>
            </w:r>
            <w:r w:rsidR="00A32B88">
              <w:rPr>
                <w:rFonts w:hAnsi="Times New Roman" w:cs="Times New Roman"/>
                <w:b/>
                <w:lang w:val="lt-LT"/>
              </w:rPr>
              <w:t xml:space="preserve">9: poveikis ekonomikos valdymui </w:t>
            </w:r>
            <w:r w:rsidR="00A32B88" w:rsidRPr="00A32B88">
              <w:rPr>
                <w:rFonts w:hAnsi="Times New Roman" w:cs="Times New Roman"/>
                <w:i/>
                <w:lang w:val="lt-LT"/>
              </w:rPr>
              <w:t>(Pasikeitimas nuomonėmis)</w:t>
            </w:r>
          </w:p>
          <w:p w:rsidR="00A021AC" w:rsidRPr="001E7B3C" w:rsidRDefault="00A32B88" w:rsidP="00A021AC">
            <w:pPr>
              <w:contextualSpacing/>
              <w:jc w:val="both"/>
              <w:rPr>
                <w:sz w:val="26"/>
                <w:szCs w:val="26"/>
              </w:rPr>
            </w:pPr>
            <w:r w:rsidRPr="008419A6">
              <w:rPr>
                <w:b/>
                <w:u w:val="single"/>
                <w:lang w:val="lt-LT"/>
              </w:rPr>
              <w:t>Klausimo esmė</w:t>
            </w:r>
            <w:r w:rsidRPr="00A021AC">
              <w:rPr>
                <w:b/>
                <w:u w:val="single"/>
                <w:lang w:val="lt-LT"/>
              </w:rPr>
              <w:t>:</w:t>
            </w:r>
            <w:r w:rsidRPr="00A021AC">
              <w:rPr>
                <w:lang w:val="lt-LT"/>
              </w:rPr>
              <w:t xml:space="preserve"> </w:t>
            </w:r>
            <w:r w:rsidR="00A021AC" w:rsidRPr="00191C42">
              <w:t xml:space="preserve">EK </w:t>
            </w:r>
            <w:proofErr w:type="spellStart"/>
            <w:r w:rsidR="00A021AC" w:rsidRPr="00191C42">
              <w:t>dar</w:t>
            </w:r>
            <w:proofErr w:type="spellEnd"/>
            <w:r w:rsidR="00A021AC" w:rsidRPr="00191C42">
              <w:t xml:space="preserve"> 2020 m. </w:t>
            </w:r>
            <w:proofErr w:type="spellStart"/>
            <w:proofErr w:type="gramStart"/>
            <w:r w:rsidR="00A021AC" w:rsidRPr="00191C42">
              <w:t>vasario</w:t>
            </w:r>
            <w:proofErr w:type="spellEnd"/>
            <w:proofErr w:type="gramEnd"/>
            <w:r w:rsidR="00A021AC" w:rsidRPr="00191C42">
              <w:t xml:space="preserve"> </w:t>
            </w:r>
            <w:proofErr w:type="spellStart"/>
            <w:r w:rsidR="00A021AC" w:rsidRPr="00191C42">
              <w:t>mėnesį</w:t>
            </w:r>
            <w:proofErr w:type="spellEnd"/>
            <w:r w:rsidR="00A021AC" w:rsidRPr="00191C42">
              <w:t xml:space="preserve"> </w:t>
            </w:r>
            <w:proofErr w:type="spellStart"/>
            <w:r w:rsidR="00A021AC" w:rsidRPr="00191C42">
              <w:t>pateikė</w:t>
            </w:r>
            <w:proofErr w:type="spellEnd"/>
            <w:r w:rsidR="00A021AC" w:rsidRPr="00191C42">
              <w:t xml:space="preserve"> </w:t>
            </w:r>
            <w:proofErr w:type="spellStart"/>
            <w:r w:rsidR="00A021AC" w:rsidRPr="00191C42">
              <w:t>komunikatą</w:t>
            </w:r>
            <w:proofErr w:type="spellEnd"/>
            <w:r w:rsidR="00A021AC" w:rsidRPr="00191C42">
              <w:t xml:space="preserve"> </w:t>
            </w:r>
            <w:proofErr w:type="spellStart"/>
            <w:r w:rsidR="00A021AC" w:rsidRPr="00191C42">
              <w:t>dėl</w:t>
            </w:r>
            <w:proofErr w:type="spellEnd"/>
            <w:r w:rsidR="00A021AC" w:rsidRPr="00191C42">
              <w:t xml:space="preserve"> ES </w:t>
            </w:r>
            <w:proofErr w:type="spellStart"/>
            <w:r w:rsidR="00A021AC" w:rsidRPr="00191C42">
              <w:t>ekonomikos</w:t>
            </w:r>
            <w:proofErr w:type="spellEnd"/>
            <w:r w:rsidR="00A021AC" w:rsidRPr="00191C42">
              <w:t xml:space="preserve"> </w:t>
            </w:r>
            <w:proofErr w:type="spellStart"/>
            <w:r w:rsidR="00A021AC" w:rsidRPr="00191C42">
              <w:t>valdymo</w:t>
            </w:r>
            <w:proofErr w:type="spellEnd"/>
            <w:r w:rsidR="00A021AC" w:rsidRPr="00191C42">
              <w:t xml:space="preserve"> </w:t>
            </w:r>
            <w:proofErr w:type="spellStart"/>
            <w:r w:rsidR="00A021AC" w:rsidRPr="00191C42">
              <w:t>peržiūros</w:t>
            </w:r>
            <w:proofErr w:type="spellEnd"/>
            <w:r w:rsidR="00A021AC" w:rsidRPr="00191C42">
              <w:t xml:space="preserve">, </w:t>
            </w:r>
            <w:proofErr w:type="spellStart"/>
            <w:r w:rsidR="00A021AC" w:rsidRPr="00191C42">
              <w:t>tačiau</w:t>
            </w:r>
            <w:proofErr w:type="spellEnd"/>
            <w:r w:rsidR="00A021AC" w:rsidRPr="00191C42">
              <w:t xml:space="preserve"> </w:t>
            </w:r>
            <w:proofErr w:type="spellStart"/>
            <w:r w:rsidR="00A021AC" w:rsidRPr="00191C42">
              <w:t>vieša</w:t>
            </w:r>
            <w:proofErr w:type="spellEnd"/>
            <w:r w:rsidR="00A021AC" w:rsidRPr="00191C42">
              <w:t xml:space="preserve"> </w:t>
            </w:r>
            <w:proofErr w:type="spellStart"/>
            <w:r w:rsidR="00A021AC" w:rsidRPr="00191C42">
              <w:t>diskusija</w:t>
            </w:r>
            <w:proofErr w:type="spellEnd"/>
            <w:r w:rsidR="00A021AC" w:rsidRPr="00191C42">
              <w:t xml:space="preserve"> </w:t>
            </w:r>
            <w:proofErr w:type="spellStart"/>
            <w:r w:rsidR="00A021AC" w:rsidRPr="00191C42">
              <w:t>buvo</w:t>
            </w:r>
            <w:proofErr w:type="spellEnd"/>
            <w:r w:rsidR="00A021AC" w:rsidRPr="00191C42">
              <w:t xml:space="preserve"> </w:t>
            </w:r>
            <w:proofErr w:type="spellStart"/>
            <w:r w:rsidR="00A021AC" w:rsidRPr="00191C42">
              <w:t>sustabdyta</w:t>
            </w:r>
            <w:proofErr w:type="spellEnd"/>
            <w:r w:rsidR="00A021AC" w:rsidRPr="00191C42">
              <w:t xml:space="preserve"> </w:t>
            </w:r>
            <w:proofErr w:type="spellStart"/>
            <w:r w:rsidR="00A021AC" w:rsidRPr="00191C42">
              <w:t>dėl</w:t>
            </w:r>
            <w:proofErr w:type="spellEnd"/>
            <w:r w:rsidR="00A021AC" w:rsidRPr="00191C42">
              <w:t xml:space="preserve"> </w:t>
            </w:r>
            <w:proofErr w:type="spellStart"/>
            <w:r w:rsidR="00A021AC" w:rsidRPr="00191C42">
              <w:t>ištikusios</w:t>
            </w:r>
            <w:proofErr w:type="spellEnd"/>
            <w:r w:rsidR="00A021AC" w:rsidRPr="00191C42">
              <w:t xml:space="preserve"> COVID-19 </w:t>
            </w:r>
            <w:proofErr w:type="spellStart"/>
            <w:r w:rsidR="00A021AC" w:rsidRPr="00191C42">
              <w:t>krizės</w:t>
            </w:r>
            <w:proofErr w:type="spellEnd"/>
            <w:r w:rsidR="00A021AC" w:rsidRPr="00191C42">
              <w:t xml:space="preserve">. 2021 m. </w:t>
            </w:r>
            <w:proofErr w:type="spellStart"/>
            <w:r w:rsidR="00A021AC" w:rsidRPr="00191C42">
              <w:t>spalio</w:t>
            </w:r>
            <w:proofErr w:type="spellEnd"/>
            <w:r w:rsidR="00A021AC" w:rsidRPr="00191C42">
              <w:t xml:space="preserve"> </w:t>
            </w:r>
            <w:r w:rsidR="00A021AC" w:rsidRPr="00191C42">
              <w:rPr>
                <w:lang w:val="en-GB"/>
              </w:rPr>
              <w:t xml:space="preserve">19 d. </w:t>
            </w:r>
            <w:proofErr w:type="spellStart"/>
            <w:r w:rsidR="00A021AC" w:rsidRPr="00191C42">
              <w:t>Komisija</w:t>
            </w:r>
            <w:proofErr w:type="spellEnd"/>
            <w:r w:rsidR="00A021AC" w:rsidRPr="00191C42">
              <w:t xml:space="preserve"> </w:t>
            </w:r>
            <w:proofErr w:type="spellStart"/>
            <w:r w:rsidR="00A021AC" w:rsidRPr="00191C42">
              <w:t>pateikė</w:t>
            </w:r>
            <w:proofErr w:type="spellEnd"/>
            <w:r w:rsidR="00A021AC" w:rsidRPr="00191C42">
              <w:t xml:space="preserve"> </w:t>
            </w:r>
            <w:proofErr w:type="spellStart"/>
            <w:r w:rsidR="00A021AC" w:rsidRPr="00191C42">
              <w:t>atnaujintą</w:t>
            </w:r>
            <w:proofErr w:type="spellEnd"/>
            <w:r w:rsidR="00A021AC" w:rsidRPr="00191C42">
              <w:t xml:space="preserve"> </w:t>
            </w:r>
            <w:proofErr w:type="spellStart"/>
            <w:r w:rsidR="00A021AC" w:rsidRPr="00191C42">
              <w:t>komunikatą</w:t>
            </w:r>
            <w:proofErr w:type="spellEnd"/>
            <w:r w:rsidR="00A021AC" w:rsidRPr="00191C42">
              <w:t xml:space="preserve">, </w:t>
            </w:r>
            <w:proofErr w:type="spellStart"/>
            <w:r w:rsidR="00A021AC" w:rsidRPr="00191C42">
              <w:t>kuriame</w:t>
            </w:r>
            <w:proofErr w:type="spellEnd"/>
            <w:r w:rsidR="00A021AC" w:rsidRPr="00191C42">
              <w:t xml:space="preserve"> </w:t>
            </w:r>
            <w:proofErr w:type="spellStart"/>
            <w:r w:rsidR="00A021AC" w:rsidRPr="00191C42">
              <w:t>įvertinamos</w:t>
            </w:r>
            <w:proofErr w:type="spellEnd"/>
            <w:r w:rsidR="00A021AC" w:rsidRPr="00191C42">
              <w:t xml:space="preserve"> </w:t>
            </w:r>
            <w:proofErr w:type="spellStart"/>
            <w:r w:rsidR="00A021AC" w:rsidRPr="00191C42">
              <w:t>dėl</w:t>
            </w:r>
            <w:proofErr w:type="spellEnd"/>
            <w:r w:rsidR="00A021AC" w:rsidRPr="00191C42">
              <w:t xml:space="preserve"> COVID-19 </w:t>
            </w:r>
            <w:proofErr w:type="spellStart"/>
            <w:r w:rsidR="00A021AC" w:rsidRPr="00191C42">
              <w:t>krizės</w:t>
            </w:r>
            <w:proofErr w:type="spellEnd"/>
            <w:r w:rsidR="00A021AC" w:rsidRPr="00191C42">
              <w:t xml:space="preserve"> </w:t>
            </w:r>
            <w:proofErr w:type="spellStart"/>
            <w:r w:rsidR="00A021AC" w:rsidRPr="00191C42">
              <w:t>pasikeitusių</w:t>
            </w:r>
            <w:proofErr w:type="spellEnd"/>
            <w:r w:rsidR="00A021AC" w:rsidRPr="00191C42">
              <w:t xml:space="preserve"> </w:t>
            </w:r>
            <w:proofErr w:type="spellStart"/>
            <w:r w:rsidR="00A021AC" w:rsidRPr="00191C42">
              <w:t>aplinkybių</w:t>
            </w:r>
            <w:proofErr w:type="spellEnd"/>
            <w:r w:rsidR="00A021AC" w:rsidRPr="00191C42">
              <w:t xml:space="preserve"> </w:t>
            </w:r>
            <w:proofErr w:type="spellStart"/>
            <w:r w:rsidR="00A021AC" w:rsidRPr="00191C42">
              <w:t>pasekmės</w:t>
            </w:r>
            <w:proofErr w:type="spellEnd"/>
            <w:r w:rsidR="00A021AC" w:rsidRPr="00191C42">
              <w:t xml:space="preserve"> </w:t>
            </w:r>
            <w:proofErr w:type="spellStart"/>
            <w:r w:rsidR="00A021AC" w:rsidRPr="00191C42">
              <w:t>ekonomikos</w:t>
            </w:r>
            <w:proofErr w:type="spellEnd"/>
            <w:r w:rsidR="00A021AC" w:rsidRPr="00191C42">
              <w:t xml:space="preserve"> </w:t>
            </w:r>
            <w:proofErr w:type="spellStart"/>
            <w:r w:rsidR="00A021AC" w:rsidRPr="00191C42">
              <w:t>valdymui</w:t>
            </w:r>
            <w:proofErr w:type="spellEnd"/>
            <w:r w:rsidR="00A021AC" w:rsidRPr="00191C42">
              <w:t xml:space="preserve"> </w:t>
            </w:r>
            <w:proofErr w:type="spellStart"/>
            <w:r w:rsidR="00A021AC" w:rsidRPr="00191C42">
              <w:t>ir</w:t>
            </w:r>
            <w:proofErr w:type="spellEnd"/>
            <w:r w:rsidR="00A021AC" w:rsidRPr="00191C42">
              <w:t xml:space="preserve"> </w:t>
            </w:r>
            <w:proofErr w:type="spellStart"/>
            <w:r w:rsidR="00A021AC" w:rsidRPr="00191C42">
              <w:t>atnaujinama</w:t>
            </w:r>
            <w:proofErr w:type="spellEnd"/>
            <w:r w:rsidR="00A021AC" w:rsidRPr="00191C42">
              <w:t xml:space="preserve"> </w:t>
            </w:r>
            <w:proofErr w:type="spellStart"/>
            <w:r w:rsidR="00A021AC" w:rsidRPr="00191C42">
              <w:t>vieša</w:t>
            </w:r>
            <w:proofErr w:type="spellEnd"/>
            <w:r w:rsidR="00A021AC" w:rsidRPr="00191C42">
              <w:t xml:space="preserve"> </w:t>
            </w:r>
            <w:proofErr w:type="spellStart"/>
            <w:r w:rsidR="00A021AC" w:rsidRPr="00191C42">
              <w:t>diskusija</w:t>
            </w:r>
            <w:proofErr w:type="spellEnd"/>
            <w:r w:rsidR="00A021AC" w:rsidRPr="00191C42">
              <w:t xml:space="preserve"> </w:t>
            </w:r>
            <w:proofErr w:type="spellStart"/>
            <w:r w:rsidR="00A021AC" w:rsidRPr="00191C42">
              <w:t>dėl</w:t>
            </w:r>
            <w:proofErr w:type="spellEnd"/>
            <w:r w:rsidR="00A021AC" w:rsidRPr="00191C42">
              <w:t xml:space="preserve"> </w:t>
            </w:r>
            <w:proofErr w:type="spellStart"/>
            <w:r w:rsidR="00A021AC" w:rsidRPr="00191C42">
              <w:t>sist</w:t>
            </w:r>
            <w:r w:rsidR="00A021AC" w:rsidRPr="00191C42">
              <w:t>e</w:t>
            </w:r>
            <w:r w:rsidR="00A021AC" w:rsidRPr="00191C42">
              <w:t>mos</w:t>
            </w:r>
            <w:proofErr w:type="spellEnd"/>
            <w:r w:rsidR="00A021AC" w:rsidRPr="00191C42">
              <w:t xml:space="preserve"> </w:t>
            </w:r>
            <w:proofErr w:type="spellStart"/>
            <w:r w:rsidR="00A021AC" w:rsidRPr="00191C42">
              <w:t>peržiūros</w:t>
            </w:r>
            <w:proofErr w:type="spellEnd"/>
            <w:r w:rsidR="00A021AC" w:rsidRPr="00191C42">
              <w:t>.</w:t>
            </w:r>
          </w:p>
          <w:p w:rsidR="00310122" w:rsidRPr="00310122" w:rsidRDefault="00310122" w:rsidP="00310122">
            <w:pPr>
              <w:pStyle w:val="BodyA"/>
              <w:jc w:val="both"/>
              <w:rPr>
                <w:rFonts w:hAnsi="Times New Roman" w:cs="Times New Roman"/>
                <w:lang w:val="lt-LT"/>
              </w:rPr>
            </w:pPr>
            <w:r w:rsidRPr="00310122">
              <w:rPr>
                <w:rFonts w:hAnsi="Times New Roman" w:cs="Times New Roman"/>
                <w:lang w:val="lt-LT"/>
              </w:rPr>
              <w:t>Komunikate aptariamos vidutinio ir ilgojo laikotarpio ES narių ekonomikos tendencijos. ES ek</w:t>
            </w:r>
            <w:r w:rsidRPr="00310122">
              <w:rPr>
                <w:rFonts w:hAnsi="Times New Roman" w:cs="Times New Roman"/>
                <w:lang w:val="lt-LT"/>
              </w:rPr>
              <w:t>o</w:t>
            </w:r>
            <w:r w:rsidRPr="00310122">
              <w:rPr>
                <w:rFonts w:hAnsi="Times New Roman" w:cs="Times New Roman"/>
                <w:lang w:val="lt-LT"/>
              </w:rPr>
              <w:t>nomika jau prieš COVID-19 pandemiją susidūrė su keletu ilg</w:t>
            </w:r>
            <w:r w:rsidRPr="00310122">
              <w:rPr>
                <w:rFonts w:hAnsi="Times New Roman" w:cs="Times New Roman"/>
                <w:lang w:val="lt-LT"/>
              </w:rPr>
              <w:t>a</w:t>
            </w:r>
            <w:r w:rsidRPr="00310122">
              <w:rPr>
                <w:rFonts w:hAnsi="Times New Roman" w:cs="Times New Roman"/>
                <w:lang w:val="lt-LT"/>
              </w:rPr>
              <w:t>laikių struktūrinių iššūkių, tokių kaip visuomenės senėjimas, lėtėjantis ekonomikos augimas, klimato kaita bei auganti pa</w:t>
            </w:r>
            <w:r w:rsidR="007867D8">
              <w:rPr>
                <w:rFonts w:hAnsi="Times New Roman" w:cs="Times New Roman"/>
                <w:lang w:val="lt-LT"/>
              </w:rPr>
              <w:t>jamų n</w:t>
            </w:r>
            <w:r w:rsidR="007867D8">
              <w:rPr>
                <w:rFonts w:hAnsi="Times New Roman" w:cs="Times New Roman"/>
                <w:lang w:val="lt-LT"/>
              </w:rPr>
              <w:t>e</w:t>
            </w:r>
            <w:r w:rsidR="007867D8">
              <w:rPr>
                <w:rFonts w:hAnsi="Times New Roman" w:cs="Times New Roman"/>
                <w:lang w:val="lt-LT"/>
              </w:rPr>
              <w:t>lygybė. Kilusi COVID-19</w:t>
            </w:r>
            <w:r w:rsidRPr="00310122">
              <w:rPr>
                <w:rFonts w:hAnsi="Times New Roman" w:cs="Times New Roman"/>
                <w:lang w:val="lt-LT"/>
              </w:rPr>
              <w:t xml:space="preserve"> pandemija padidino išvardintų iššūkių svarbą. </w:t>
            </w:r>
          </w:p>
          <w:p w:rsidR="00310122" w:rsidRPr="00310122" w:rsidRDefault="00310122" w:rsidP="00310122">
            <w:pPr>
              <w:pStyle w:val="BodyA"/>
              <w:jc w:val="both"/>
              <w:rPr>
                <w:rFonts w:hAnsi="Times New Roman" w:cs="Times New Roman"/>
                <w:lang w:val="lt-LT"/>
              </w:rPr>
            </w:pPr>
            <w:r w:rsidRPr="00310122">
              <w:rPr>
                <w:rFonts w:hAnsi="Times New Roman" w:cs="Times New Roman"/>
                <w:lang w:val="lt-LT"/>
              </w:rPr>
              <w:t>COVID-19 pandemija sukėlė didelį ekonomikos nuosmukį, po kurio sekė spartesnis nei tikėtasi, bet netolygus atsigavimas. Pandemijos metu padidėjo ekonominiai ir socialiniai skirtumai, todėl tvaraus vystymosi tikslų pasiekimas tapo dar labiau komplikuotas. Viešieji finansai  smarkiai nukentėjo dėl d</w:t>
            </w:r>
            <w:r w:rsidRPr="00310122">
              <w:rPr>
                <w:rFonts w:hAnsi="Times New Roman" w:cs="Times New Roman"/>
                <w:lang w:val="lt-LT"/>
              </w:rPr>
              <w:t>i</w:t>
            </w:r>
            <w:r w:rsidRPr="00310122">
              <w:rPr>
                <w:rFonts w:hAnsi="Times New Roman" w:cs="Times New Roman"/>
                <w:lang w:val="lt-LT"/>
              </w:rPr>
              <w:t>delio ekonomikos nuosmukio, didelės apimties fiskalinio atsako priemonių, kurios sušvelnino krizės poveikį, tačiau padidino skolos lygį ir sukėlė riziką skolos t</w:t>
            </w:r>
            <w:r>
              <w:rPr>
                <w:rFonts w:hAnsi="Times New Roman" w:cs="Times New Roman"/>
                <w:lang w:val="lt-LT"/>
              </w:rPr>
              <w:t xml:space="preserve">varumui. </w:t>
            </w:r>
            <w:r w:rsidRPr="00310122">
              <w:rPr>
                <w:rFonts w:hAnsi="Times New Roman" w:cs="Times New Roman"/>
                <w:lang w:val="lt-LT"/>
              </w:rPr>
              <w:t>Beprecedentis ir koordinuotas p</w:t>
            </w:r>
            <w:r w:rsidRPr="00310122">
              <w:rPr>
                <w:rFonts w:hAnsi="Times New Roman" w:cs="Times New Roman"/>
                <w:lang w:val="lt-LT"/>
              </w:rPr>
              <w:t>o</w:t>
            </w:r>
            <w:r w:rsidRPr="00310122">
              <w:rPr>
                <w:rFonts w:hAnsi="Times New Roman" w:cs="Times New Roman"/>
                <w:lang w:val="lt-LT"/>
              </w:rPr>
              <w:lastRenderedPageBreak/>
              <w:t xml:space="preserve">litikos atsakas į COVID-19 krizę buvo sėkmingas ir sušvelnino krizės poveikį. </w:t>
            </w:r>
          </w:p>
          <w:p w:rsidR="00310122" w:rsidRDefault="00310122" w:rsidP="00310122">
            <w:pPr>
              <w:pStyle w:val="BodyA"/>
              <w:jc w:val="both"/>
              <w:rPr>
                <w:rFonts w:hAnsi="Times New Roman" w:cs="Times New Roman"/>
                <w:lang w:val="lt-LT"/>
              </w:rPr>
            </w:pPr>
            <w:r>
              <w:rPr>
                <w:rFonts w:hAnsi="Times New Roman" w:cs="Times New Roman"/>
                <w:lang w:val="lt-LT"/>
              </w:rPr>
              <w:t xml:space="preserve">EK </w:t>
            </w:r>
            <w:r w:rsidRPr="00310122">
              <w:rPr>
                <w:rFonts w:hAnsi="Times New Roman" w:cs="Times New Roman"/>
                <w:lang w:val="lt-LT"/>
              </w:rPr>
              <w:t>pabrėžia, kad sumažinti išaugusią bendrąją skola iki tvaraus lygio bus pagrindinis ekonominio va</w:t>
            </w:r>
            <w:r w:rsidRPr="00310122">
              <w:rPr>
                <w:rFonts w:hAnsi="Times New Roman" w:cs="Times New Roman"/>
                <w:lang w:val="lt-LT"/>
              </w:rPr>
              <w:t>l</w:t>
            </w:r>
            <w:r w:rsidRPr="00310122">
              <w:rPr>
                <w:rFonts w:hAnsi="Times New Roman" w:cs="Times New Roman"/>
                <w:lang w:val="lt-LT"/>
              </w:rPr>
              <w:t>dymo sistemos tikslas. Krizė išryškino teigiamą koordinuotos diskrecinės fi</w:t>
            </w:r>
            <w:r w:rsidRPr="00310122">
              <w:rPr>
                <w:rFonts w:hAnsi="Times New Roman" w:cs="Times New Roman"/>
                <w:lang w:val="lt-LT"/>
              </w:rPr>
              <w:t>s</w:t>
            </w:r>
            <w:r w:rsidRPr="00310122">
              <w:rPr>
                <w:rFonts w:hAnsi="Times New Roman" w:cs="Times New Roman"/>
                <w:lang w:val="lt-LT"/>
              </w:rPr>
              <w:t>kalinės politikos valdymo vaidmenį, kuris padėjo tinkamai reaguoti į ekonomikos ciklo padėtį, ekonominius sukrėtimus</w:t>
            </w:r>
            <w:r>
              <w:rPr>
                <w:rFonts w:hAnsi="Times New Roman" w:cs="Times New Roman"/>
                <w:lang w:val="lt-LT"/>
              </w:rPr>
              <w:t xml:space="preserve"> ir jų s</w:t>
            </w:r>
            <w:r>
              <w:rPr>
                <w:rFonts w:hAnsi="Times New Roman" w:cs="Times New Roman"/>
                <w:lang w:val="lt-LT"/>
              </w:rPr>
              <w:t>o</w:t>
            </w:r>
            <w:r>
              <w:rPr>
                <w:rFonts w:hAnsi="Times New Roman" w:cs="Times New Roman"/>
                <w:lang w:val="lt-LT"/>
              </w:rPr>
              <w:t xml:space="preserve">cialinius padarinius. </w:t>
            </w:r>
            <w:r w:rsidRPr="00310122">
              <w:rPr>
                <w:rFonts w:hAnsi="Times New Roman" w:cs="Times New Roman"/>
                <w:lang w:val="lt-LT"/>
              </w:rPr>
              <w:t>Teigiama, kad ekonomikos augimui palanki valstybės finansų sudėtis turėtų skati</w:t>
            </w:r>
            <w:r w:rsidRPr="00310122">
              <w:rPr>
                <w:rFonts w:hAnsi="Times New Roman" w:cs="Times New Roman"/>
                <w:lang w:val="lt-LT"/>
              </w:rPr>
              <w:t>n</w:t>
            </w:r>
            <w:r w:rsidRPr="00310122">
              <w:rPr>
                <w:rFonts w:hAnsi="Times New Roman" w:cs="Times New Roman"/>
                <w:lang w:val="lt-LT"/>
              </w:rPr>
              <w:t xml:space="preserve">ti investicijas ir remti tvarų ekonomikos augimą. </w:t>
            </w:r>
            <w:r>
              <w:rPr>
                <w:rFonts w:hAnsi="Times New Roman" w:cs="Times New Roman"/>
                <w:lang w:val="lt-LT"/>
              </w:rPr>
              <w:t xml:space="preserve">EK skatina </w:t>
            </w:r>
            <w:r w:rsidRPr="00310122">
              <w:rPr>
                <w:rFonts w:hAnsi="Times New Roman" w:cs="Times New Roman"/>
                <w:lang w:val="lt-LT"/>
              </w:rPr>
              <w:t>siekti papraste</w:t>
            </w:r>
            <w:r w:rsidRPr="00310122">
              <w:rPr>
                <w:rFonts w:hAnsi="Times New Roman" w:cs="Times New Roman"/>
                <w:lang w:val="lt-LT"/>
              </w:rPr>
              <w:t>s</w:t>
            </w:r>
            <w:r w:rsidRPr="00310122">
              <w:rPr>
                <w:rFonts w:hAnsi="Times New Roman" w:cs="Times New Roman"/>
                <w:lang w:val="lt-LT"/>
              </w:rPr>
              <w:t>nės fiskalinės sistemos, kuri prisidėtų prie veiksmingo ekonomikos valdymo ir užtikrintų nacion</w:t>
            </w:r>
            <w:r w:rsidRPr="00310122">
              <w:rPr>
                <w:rFonts w:hAnsi="Times New Roman" w:cs="Times New Roman"/>
                <w:lang w:val="lt-LT"/>
              </w:rPr>
              <w:t>a</w:t>
            </w:r>
            <w:r w:rsidRPr="00310122">
              <w:rPr>
                <w:rFonts w:hAnsi="Times New Roman" w:cs="Times New Roman"/>
                <w:lang w:val="lt-LT"/>
              </w:rPr>
              <w:t>linę atsakomybę ir geresnį taisyklių vykdymą.</w:t>
            </w:r>
          </w:p>
          <w:p w:rsidR="00A021AC" w:rsidRPr="00A021AC" w:rsidRDefault="00A021AC" w:rsidP="00310122">
            <w:pPr>
              <w:pStyle w:val="BodyA"/>
              <w:jc w:val="both"/>
              <w:rPr>
                <w:rFonts w:hAnsi="Times New Roman" w:cs="Times New Roman"/>
                <w:lang w:val="lt-LT"/>
              </w:rPr>
            </w:pPr>
            <w:r w:rsidRPr="00A021AC">
              <w:rPr>
                <w:rFonts w:hAnsi="Times New Roman" w:cs="Times New Roman"/>
                <w:lang w:val="lt-LT"/>
              </w:rPr>
              <w:t xml:space="preserve">EK siūlomas </w:t>
            </w:r>
            <w:r>
              <w:rPr>
                <w:rFonts w:hAnsi="Times New Roman" w:cs="Times New Roman"/>
                <w:lang w:val="lt-LT"/>
              </w:rPr>
              <w:t>tolimesnių veiksmų</w:t>
            </w:r>
            <w:r w:rsidRPr="00A021AC">
              <w:rPr>
                <w:rFonts w:hAnsi="Times New Roman" w:cs="Times New Roman"/>
                <w:lang w:val="lt-LT"/>
              </w:rPr>
              <w:t xml:space="preserve"> planas:</w:t>
            </w:r>
          </w:p>
          <w:p w:rsidR="00A021AC" w:rsidRPr="00A021AC" w:rsidRDefault="00A021AC" w:rsidP="00A021AC">
            <w:pPr>
              <w:pStyle w:val="Sraopastraip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pacing w:after="0" w:line="240" w:lineRule="auto"/>
              <w:ind w:left="0" w:firstLine="0"/>
              <w:contextualSpacing/>
              <w:jc w:val="both"/>
              <w:rPr>
                <w:rFonts w:eastAsia="Times New Roman" w:hAnsi="Times New Roman" w:cs="Times New Roman"/>
              </w:rPr>
            </w:pPr>
            <w:proofErr w:type="spellStart"/>
            <w:r w:rsidRPr="00A021AC">
              <w:rPr>
                <w:rFonts w:eastAsia="Times New Roman" w:hAnsi="Times New Roman" w:cs="Times New Roman"/>
                <w:bCs/>
              </w:rPr>
              <w:t>Iki</w:t>
            </w:r>
            <w:proofErr w:type="spellEnd"/>
            <w:r w:rsidRPr="00A021AC">
              <w:rPr>
                <w:rFonts w:eastAsia="Times New Roman" w:hAnsi="Times New Roman" w:cs="Times New Roman"/>
                <w:bCs/>
              </w:rPr>
              <w:t xml:space="preserve"> 2021 m. </w:t>
            </w:r>
            <w:proofErr w:type="spellStart"/>
            <w:r w:rsidRPr="00A021AC">
              <w:rPr>
                <w:rFonts w:eastAsia="Times New Roman" w:hAnsi="Times New Roman" w:cs="Times New Roman"/>
                <w:bCs/>
              </w:rPr>
              <w:t>gruodžio</w:t>
            </w:r>
            <w:proofErr w:type="spellEnd"/>
            <w:r w:rsidRPr="00A021AC">
              <w:rPr>
                <w:rFonts w:eastAsia="Times New Roman" w:hAnsi="Times New Roman" w:cs="Times New Roman"/>
                <w:bCs/>
              </w:rPr>
              <w:t xml:space="preserve"> 31 d. </w:t>
            </w:r>
            <w:proofErr w:type="spellStart"/>
            <w:r w:rsidRPr="00A021AC">
              <w:rPr>
                <w:rFonts w:eastAsia="Times New Roman" w:hAnsi="Times New Roman" w:cs="Times New Roman"/>
                <w:bCs/>
              </w:rPr>
              <w:t>viešos</w:t>
            </w:r>
            <w:proofErr w:type="spellEnd"/>
            <w:r w:rsidRPr="00A021AC">
              <w:rPr>
                <w:rFonts w:eastAsia="Times New Roman" w:hAnsi="Times New Roman" w:cs="Times New Roman"/>
                <w:bCs/>
              </w:rPr>
              <w:t xml:space="preserve"> </w:t>
            </w:r>
            <w:proofErr w:type="spellStart"/>
            <w:r w:rsidRPr="00A021AC">
              <w:rPr>
                <w:rFonts w:eastAsia="Times New Roman" w:hAnsi="Times New Roman" w:cs="Times New Roman"/>
                <w:bCs/>
              </w:rPr>
              <w:t>diskusijos</w:t>
            </w:r>
            <w:proofErr w:type="spellEnd"/>
            <w:r w:rsidRPr="00A021AC">
              <w:rPr>
                <w:rFonts w:eastAsia="Times New Roman" w:hAnsi="Times New Roman" w:cs="Times New Roman"/>
                <w:bCs/>
              </w:rPr>
              <w:t xml:space="preserve"> </w:t>
            </w:r>
            <w:proofErr w:type="spellStart"/>
            <w:proofErr w:type="gramStart"/>
            <w:r w:rsidRPr="00A021AC">
              <w:rPr>
                <w:rFonts w:eastAsia="Times New Roman" w:hAnsi="Times New Roman" w:cs="Times New Roman"/>
                <w:bCs/>
              </w:rPr>
              <w:t>dėl</w:t>
            </w:r>
            <w:proofErr w:type="spellEnd"/>
            <w:proofErr w:type="gramEnd"/>
            <w:r w:rsidRPr="00A021AC">
              <w:rPr>
                <w:rFonts w:eastAsia="Times New Roman" w:hAnsi="Times New Roman" w:cs="Times New Roman"/>
                <w:bCs/>
              </w:rPr>
              <w:t xml:space="preserve"> </w:t>
            </w:r>
            <w:proofErr w:type="spellStart"/>
            <w:r w:rsidRPr="00A021AC">
              <w:rPr>
                <w:rFonts w:eastAsia="Times New Roman" w:hAnsi="Times New Roman" w:cs="Times New Roman"/>
                <w:bCs/>
              </w:rPr>
              <w:t>ekonomikos</w:t>
            </w:r>
            <w:proofErr w:type="spellEnd"/>
            <w:r w:rsidRPr="00A021AC">
              <w:rPr>
                <w:rFonts w:eastAsia="Times New Roman" w:hAnsi="Times New Roman" w:cs="Times New Roman"/>
                <w:bCs/>
              </w:rPr>
              <w:t xml:space="preserve"> </w:t>
            </w:r>
            <w:proofErr w:type="spellStart"/>
            <w:r w:rsidRPr="00A021AC">
              <w:rPr>
                <w:rFonts w:eastAsia="Times New Roman" w:hAnsi="Times New Roman" w:cs="Times New Roman"/>
                <w:bCs/>
              </w:rPr>
              <w:t>valdymo</w:t>
            </w:r>
            <w:proofErr w:type="spellEnd"/>
            <w:r w:rsidRPr="00A021AC">
              <w:rPr>
                <w:rFonts w:eastAsia="Times New Roman" w:hAnsi="Times New Roman" w:cs="Times New Roman"/>
                <w:bCs/>
              </w:rPr>
              <w:t xml:space="preserve"> </w:t>
            </w:r>
            <w:proofErr w:type="spellStart"/>
            <w:r w:rsidRPr="00A021AC">
              <w:rPr>
                <w:rFonts w:eastAsia="Times New Roman" w:hAnsi="Times New Roman" w:cs="Times New Roman"/>
                <w:bCs/>
              </w:rPr>
              <w:t>sistemos</w:t>
            </w:r>
            <w:proofErr w:type="spellEnd"/>
            <w:r w:rsidRPr="00A021AC">
              <w:rPr>
                <w:rFonts w:eastAsia="Times New Roman" w:hAnsi="Times New Roman" w:cs="Times New Roman"/>
                <w:bCs/>
              </w:rPr>
              <w:t>.</w:t>
            </w:r>
          </w:p>
          <w:p w:rsidR="00A021AC" w:rsidRPr="00A021AC" w:rsidRDefault="00A021AC" w:rsidP="00A021AC">
            <w:pPr>
              <w:pStyle w:val="Sraopastraip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pacing w:after="0" w:line="240" w:lineRule="auto"/>
              <w:ind w:left="0" w:firstLine="0"/>
              <w:contextualSpacing/>
              <w:jc w:val="both"/>
              <w:rPr>
                <w:rFonts w:eastAsia="Times New Roman" w:hAnsi="Times New Roman" w:cs="Times New Roman"/>
              </w:rPr>
            </w:pPr>
            <w:r w:rsidRPr="00A021AC">
              <w:rPr>
                <w:rFonts w:hAnsi="Times New Roman" w:cs="Times New Roman"/>
              </w:rPr>
              <w:t xml:space="preserve">2022 m. </w:t>
            </w:r>
            <w:proofErr w:type="spellStart"/>
            <w:r w:rsidRPr="00A021AC">
              <w:rPr>
                <w:rFonts w:hAnsi="Times New Roman" w:cs="Times New Roman"/>
              </w:rPr>
              <w:t>kovo</w:t>
            </w:r>
            <w:proofErr w:type="spellEnd"/>
            <w:r w:rsidRPr="00A021AC">
              <w:rPr>
                <w:rFonts w:hAnsi="Times New Roman" w:cs="Times New Roman"/>
              </w:rPr>
              <w:t xml:space="preserve"> </w:t>
            </w:r>
            <w:proofErr w:type="spellStart"/>
            <w:r w:rsidRPr="00A021AC">
              <w:rPr>
                <w:rFonts w:hAnsi="Times New Roman" w:cs="Times New Roman"/>
              </w:rPr>
              <w:t>mėn</w:t>
            </w:r>
            <w:proofErr w:type="spellEnd"/>
            <w:r w:rsidRPr="00A021AC">
              <w:rPr>
                <w:rFonts w:hAnsi="Times New Roman" w:cs="Times New Roman"/>
              </w:rPr>
              <w:t xml:space="preserve">. EK </w:t>
            </w:r>
            <w:proofErr w:type="spellStart"/>
            <w:r w:rsidRPr="00A021AC">
              <w:rPr>
                <w:rFonts w:hAnsi="Times New Roman" w:cs="Times New Roman"/>
              </w:rPr>
              <w:t>pateiks</w:t>
            </w:r>
            <w:proofErr w:type="spellEnd"/>
            <w:r w:rsidRPr="00A021AC">
              <w:rPr>
                <w:rFonts w:hAnsi="Times New Roman" w:cs="Times New Roman"/>
              </w:rPr>
              <w:t xml:space="preserve"> </w:t>
            </w:r>
            <w:proofErr w:type="spellStart"/>
            <w:r w:rsidRPr="00A021AC">
              <w:rPr>
                <w:rFonts w:hAnsi="Times New Roman" w:cs="Times New Roman"/>
              </w:rPr>
              <w:t>gaires</w:t>
            </w:r>
            <w:proofErr w:type="spellEnd"/>
            <w:r w:rsidRPr="00A021AC">
              <w:rPr>
                <w:rFonts w:hAnsi="Times New Roman" w:cs="Times New Roman"/>
              </w:rPr>
              <w:t xml:space="preserve"> </w:t>
            </w:r>
            <w:proofErr w:type="spellStart"/>
            <w:r w:rsidRPr="00A021AC">
              <w:rPr>
                <w:rFonts w:hAnsi="Times New Roman" w:cs="Times New Roman"/>
              </w:rPr>
              <w:t>dėl</w:t>
            </w:r>
            <w:proofErr w:type="spellEnd"/>
            <w:r w:rsidRPr="00A021AC">
              <w:rPr>
                <w:rFonts w:hAnsi="Times New Roman" w:cs="Times New Roman"/>
              </w:rPr>
              <w:t xml:space="preserve"> 2023 m. </w:t>
            </w:r>
            <w:proofErr w:type="spellStart"/>
            <w:r w:rsidRPr="00A021AC">
              <w:rPr>
                <w:rFonts w:hAnsi="Times New Roman" w:cs="Times New Roman"/>
              </w:rPr>
              <w:t>fiskalinės</w:t>
            </w:r>
            <w:proofErr w:type="spellEnd"/>
            <w:r w:rsidRPr="00A021AC">
              <w:rPr>
                <w:rFonts w:hAnsi="Times New Roman" w:cs="Times New Roman"/>
              </w:rPr>
              <w:t xml:space="preserve"> </w:t>
            </w:r>
            <w:proofErr w:type="spellStart"/>
            <w:r w:rsidRPr="00A021AC">
              <w:rPr>
                <w:rFonts w:hAnsi="Times New Roman" w:cs="Times New Roman"/>
              </w:rPr>
              <w:t>politikos</w:t>
            </w:r>
            <w:proofErr w:type="spellEnd"/>
            <w:r w:rsidRPr="00A021AC">
              <w:rPr>
                <w:rFonts w:hAnsi="Times New Roman" w:cs="Times New Roman"/>
              </w:rPr>
              <w:t xml:space="preserve"> </w:t>
            </w:r>
            <w:proofErr w:type="spellStart"/>
            <w:r w:rsidRPr="00A021AC">
              <w:rPr>
                <w:rFonts w:hAnsi="Times New Roman" w:cs="Times New Roman"/>
              </w:rPr>
              <w:t>planavimo</w:t>
            </w:r>
            <w:proofErr w:type="spellEnd"/>
            <w:r w:rsidRPr="00A021AC">
              <w:rPr>
                <w:rFonts w:hAnsi="Times New Roman" w:cs="Times New Roman"/>
              </w:rPr>
              <w:t xml:space="preserve"> 2022 </w:t>
            </w:r>
            <w:proofErr w:type="spellStart"/>
            <w:r w:rsidRPr="00A021AC">
              <w:rPr>
                <w:rFonts w:hAnsi="Times New Roman" w:cs="Times New Roman"/>
              </w:rPr>
              <w:t>Stab</w:t>
            </w:r>
            <w:r w:rsidRPr="00A021AC">
              <w:rPr>
                <w:rFonts w:hAnsi="Times New Roman" w:cs="Times New Roman"/>
              </w:rPr>
              <w:t>i</w:t>
            </w:r>
            <w:r w:rsidRPr="00A021AC">
              <w:rPr>
                <w:rFonts w:hAnsi="Times New Roman" w:cs="Times New Roman"/>
              </w:rPr>
              <w:t>lumo</w:t>
            </w:r>
            <w:proofErr w:type="spellEnd"/>
            <w:r w:rsidRPr="00A021AC">
              <w:rPr>
                <w:rFonts w:hAnsi="Times New Roman" w:cs="Times New Roman"/>
              </w:rPr>
              <w:t xml:space="preserve"> </w:t>
            </w:r>
            <w:proofErr w:type="spellStart"/>
            <w:r w:rsidRPr="00A021AC">
              <w:rPr>
                <w:rFonts w:hAnsi="Times New Roman" w:cs="Times New Roman"/>
              </w:rPr>
              <w:t>programoje</w:t>
            </w:r>
            <w:proofErr w:type="spellEnd"/>
            <w:r w:rsidRPr="00A021AC">
              <w:rPr>
                <w:rFonts w:hAnsi="Times New Roman" w:cs="Times New Roman"/>
              </w:rPr>
              <w:t xml:space="preserve"> </w:t>
            </w:r>
            <w:proofErr w:type="spellStart"/>
            <w:r w:rsidRPr="00A021AC">
              <w:rPr>
                <w:rFonts w:hAnsi="Times New Roman" w:cs="Times New Roman"/>
              </w:rPr>
              <w:t>ir</w:t>
            </w:r>
            <w:proofErr w:type="spellEnd"/>
            <w:r w:rsidRPr="00A021AC">
              <w:rPr>
                <w:rFonts w:hAnsi="Times New Roman" w:cs="Times New Roman"/>
              </w:rPr>
              <w:t xml:space="preserve"> </w:t>
            </w:r>
            <w:proofErr w:type="spellStart"/>
            <w:r w:rsidRPr="00A021AC">
              <w:rPr>
                <w:rFonts w:hAnsi="Times New Roman" w:cs="Times New Roman"/>
              </w:rPr>
              <w:t>informaciją</w:t>
            </w:r>
            <w:proofErr w:type="spellEnd"/>
            <w:r w:rsidRPr="00A021AC">
              <w:rPr>
                <w:rFonts w:hAnsi="Times New Roman" w:cs="Times New Roman"/>
              </w:rPr>
              <w:t xml:space="preserve"> </w:t>
            </w:r>
            <w:proofErr w:type="spellStart"/>
            <w:r w:rsidRPr="00A021AC">
              <w:rPr>
                <w:rFonts w:hAnsi="Times New Roman" w:cs="Times New Roman"/>
              </w:rPr>
              <w:t>apie</w:t>
            </w:r>
            <w:proofErr w:type="spellEnd"/>
            <w:r w:rsidRPr="00A021AC">
              <w:rPr>
                <w:rFonts w:hAnsi="Times New Roman" w:cs="Times New Roman"/>
              </w:rPr>
              <w:t xml:space="preserve"> </w:t>
            </w:r>
            <w:proofErr w:type="spellStart"/>
            <w:r w:rsidRPr="00A021AC">
              <w:rPr>
                <w:rFonts w:hAnsi="Times New Roman" w:cs="Times New Roman"/>
              </w:rPr>
              <w:t>diskusijų</w:t>
            </w:r>
            <w:proofErr w:type="spellEnd"/>
            <w:r w:rsidRPr="00A021AC">
              <w:rPr>
                <w:rFonts w:hAnsi="Times New Roman" w:cs="Times New Roman"/>
              </w:rPr>
              <w:t xml:space="preserve"> </w:t>
            </w:r>
            <w:proofErr w:type="spellStart"/>
            <w:r w:rsidRPr="00A021AC">
              <w:rPr>
                <w:rFonts w:hAnsi="Times New Roman" w:cs="Times New Roman"/>
              </w:rPr>
              <w:t>apie</w:t>
            </w:r>
            <w:proofErr w:type="spellEnd"/>
            <w:r w:rsidRPr="00A021AC">
              <w:rPr>
                <w:rFonts w:hAnsi="Times New Roman" w:cs="Times New Roman"/>
              </w:rPr>
              <w:t xml:space="preserve"> </w:t>
            </w:r>
            <w:r w:rsidRPr="00A021AC">
              <w:rPr>
                <w:rFonts w:hAnsi="Times New Roman" w:cs="Times New Roman"/>
                <w:i/>
                <w:iCs/>
              </w:rPr>
              <w:t xml:space="preserve">fiscal </w:t>
            </w:r>
            <w:proofErr w:type="gramStart"/>
            <w:r w:rsidRPr="00A021AC">
              <w:rPr>
                <w:rFonts w:hAnsi="Times New Roman" w:cs="Times New Roman"/>
                <w:i/>
                <w:iCs/>
              </w:rPr>
              <w:t>framework</w:t>
            </w:r>
            <w:r w:rsidRPr="00A021AC">
              <w:rPr>
                <w:rFonts w:hAnsi="Times New Roman" w:cs="Times New Roman"/>
              </w:rPr>
              <w:t xml:space="preserve">  </w:t>
            </w:r>
            <w:proofErr w:type="spellStart"/>
            <w:r w:rsidRPr="00A021AC">
              <w:rPr>
                <w:rFonts w:hAnsi="Times New Roman" w:cs="Times New Roman"/>
              </w:rPr>
              <w:t>peržiūrą</w:t>
            </w:r>
            <w:proofErr w:type="spellEnd"/>
            <w:proofErr w:type="gramEnd"/>
            <w:r w:rsidRPr="00A021AC">
              <w:rPr>
                <w:rFonts w:hAnsi="Times New Roman" w:cs="Times New Roman"/>
              </w:rPr>
              <w:t xml:space="preserve"> </w:t>
            </w:r>
            <w:proofErr w:type="spellStart"/>
            <w:r w:rsidRPr="00A021AC">
              <w:rPr>
                <w:rFonts w:hAnsi="Times New Roman" w:cs="Times New Roman"/>
              </w:rPr>
              <w:t>rezultatus</w:t>
            </w:r>
            <w:proofErr w:type="spellEnd"/>
            <w:r w:rsidRPr="00A021AC">
              <w:rPr>
                <w:rFonts w:hAnsi="Times New Roman" w:cs="Times New Roman"/>
              </w:rPr>
              <w:t>.</w:t>
            </w:r>
          </w:p>
          <w:p w:rsidR="00A021AC" w:rsidRPr="00A021AC" w:rsidRDefault="00A021AC" w:rsidP="00A021AC">
            <w:pPr>
              <w:pStyle w:val="Sraopastraip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left="0" w:firstLine="0"/>
              <w:contextualSpacing/>
              <w:jc w:val="both"/>
              <w:rPr>
                <w:rFonts w:hAnsi="Times New Roman" w:cs="Times New Roman"/>
              </w:rPr>
            </w:pPr>
            <w:proofErr w:type="spellStart"/>
            <w:r w:rsidRPr="00A021AC">
              <w:rPr>
                <w:rFonts w:hAnsi="Times New Roman" w:cs="Times New Roman"/>
              </w:rPr>
              <w:t>Iki</w:t>
            </w:r>
            <w:proofErr w:type="spellEnd"/>
            <w:r w:rsidRPr="00A021AC">
              <w:rPr>
                <w:rFonts w:hAnsi="Times New Roman" w:cs="Times New Roman"/>
              </w:rPr>
              <w:t xml:space="preserve"> 2023 m. EK </w:t>
            </w:r>
            <w:proofErr w:type="spellStart"/>
            <w:r w:rsidRPr="00A021AC">
              <w:rPr>
                <w:rFonts w:hAnsi="Times New Roman" w:cs="Times New Roman"/>
              </w:rPr>
              <w:t>pateiks</w:t>
            </w:r>
            <w:proofErr w:type="spellEnd"/>
            <w:r w:rsidRPr="00A021AC">
              <w:rPr>
                <w:rFonts w:hAnsi="Times New Roman" w:cs="Times New Roman"/>
              </w:rPr>
              <w:t xml:space="preserve"> </w:t>
            </w:r>
            <w:proofErr w:type="spellStart"/>
            <w:r w:rsidRPr="00A021AC">
              <w:rPr>
                <w:rFonts w:hAnsi="Times New Roman" w:cs="Times New Roman"/>
              </w:rPr>
              <w:t>gaires</w:t>
            </w:r>
            <w:proofErr w:type="spellEnd"/>
            <w:r w:rsidRPr="00A021AC">
              <w:rPr>
                <w:rFonts w:hAnsi="Times New Roman" w:cs="Times New Roman"/>
              </w:rPr>
              <w:t xml:space="preserve"> </w:t>
            </w:r>
            <w:proofErr w:type="spellStart"/>
            <w:proofErr w:type="gramStart"/>
            <w:r w:rsidRPr="00A021AC">
              <w:rPr>
                <w:rFonts w:hAnsi="Times New Roman" w:cs="Times New Roman"/>
              </w:rPr>
              <w:t>dėl</w:t>
            </w:r>
            <w:proofErr w:type="spellEnd"/>
            <w:proofErr w:type="gramEnd"/>
            <w:r w:rsidRPr="00A021AC">
              <w:rPr>
                <w:rFonts w:hAnsi="Times New Roman" w:cs="Times New Roman"/>
              </w:rPr>
              <w:t xml:space="preserve"> </w:t>
            </w:r>
            <w:proofErr w:type="spellStart"/>
            <w:r w:rsidRPr="00A021AC">
              <w:rPr>
                <w:rFonts w:hAnsi="Times New Roman" w:cs="Times New Roman"/>
              </w:rPr>
              <w:t>galimų</w:t>
            </w:r>
            <w:proofErr w:type="spellEnd"/>
            <w:r w:rsidRPr="00A021AC">
              <w:rPr>
                <w:rFonts w:hAnsi="Times New Roman" w:cs="Times New Roman"/>
              </w:rPr>
              <w:t xml:space="preserve"> </w:t>
            </w:r>
            <w:proofErr w:type="spellStart"/>
            <w:r w:rsidRPr="00A021AC">
              <w:rPr>
                <w:rFonts w:hAnsi="Times New Roman" w:cs="Times New Roman"/>
              </w:rPr>
              <w:t>pakeitimų</w:t>
            </w:r>
            <w:proofErr w:type="spellEnd"/>
            <w:r w:rsidRPr="00A021AC">
              <w:rPr>
                <w:rFonts w:hAnsi="Times New Roman" w:cs="Times New Roman"/>
              </w:rPr>
              <w:t xml:space="preserve"> </w:t>
            </w:r>
            <w:proofErr w:type="spellStart"/>
            <w:r w:rsidRPr="00A021AC">
              <w:rPr>
                <w:rFonts w:hAnsi="Times New Roman" w:cs="Times New Roman"/>
              </w:rPr>
              <w:t>ekonomikos</w:t>
            </w:r>
            <w:proofErr w:type="spellEnd"/>
            <w:r w:rsidRPr="00A021AC">
              <w:rPr>
                <w:rFonts w:hAnsi="Times New Roman" w:cs="Times New Roman"/>
              </w:rPr>
              <w:t xml:space="preserve"> </w:t>
            </w:r>
            <w:proofErr w:type="spellStart"/>
            <w:r w:rsidRPr="00A021AC">
              <w:rPr>
                <w:rFonts w:hAnsi="Times New Roman" w:cs="Times New Roman"/>
              </w:rPr>
              <w:t>valdymo</w:t>
            </w:r>
            <w:proofErr w:type="spellEnd"/>
            <w:r w:rsidRPr="00A021AC">
              <w:rPr>
                <w:rFonts w:hAnsi="Times New Roman" w:cs="Times New Roman"/>
              </w:rPr>
              <w:t xml:space="preserve"> </w:t>
            </w:r>
            <w:proofErr w:type="spellStart"/>
            <w:r w:rsidRPr="00A021AC">
              <w:rPr>
                <w:rFonts w:hAnsi="Times New Roman" w:cs="Times New Roman"/>
              </w:rPr>
              <w:t>sistemoje</w:t>
            </w:r>
            <w:proofErr w:type="spellEnd"/>
            <w:r w:rsidRPr="00A021AC">
              <w:rPr>
                <w:rFonts w:hAnsi="Times New Roman" w:cs="Times New Roman"/>
              </w:rPr>
              <w:t>.</w:t>
            </w:r>
          </w:p>
          <w:p w:rsidR="00310122" w:rsidRPr="00310122" w:rsidRDefault="00A32B88" w:rsidP="00825E43">
            <w:pPr>
              <w:pStyle w:val="BodyA"/>
              <w:jc w:val="both"/>
              <w:rPr>
                <w:rFonts w:hAnsi="Times New Roman" w:cs="Times New Roman"/>
                <w:lang w:val="lt-LT"/>
              </w:rPr>
            </w:pPr>
            <w:r w:rsidRPr="008419A6">
              <w:rPr>
                <w:rFonts w:hAnsi="Times New Roman" w:cs="Times New Roman"/>
                <w:b/>
                <w:u w:val="single"/>
                <w:lang w:val="lt-LT"/>
              </w:rPr>
              <w:t>Lietuvos pozicija.</w:t>
            </w:r>
            <w:r w:rsidRPr="00A600FE">
              <w:rPr>
                <w:rFonts w:hAnsi="Times New Roman" w:cs="Times New Roman"/>
                <w:lang w:val="lt-LT"/>
              </w:rPr>
              <w:t xml:space="preserve"> </w:t>
            </w:r>
            <w:r w:rsidR="007867D8">
              <w:rPr>
                <w:rFonts w:hAnsi="Times New Roman" w:cs="Times New Roman"/>
                <w:lang w:val="lt-LT"/>
              </w:rPr>
              <w:t>Iš esmės sutinkame su EK išskirtais struktūriniais iššūkiais. Manome, kad St</w:t>
            </w:r>
            <w:r w:rsidR="007867D8">
              <w:rPr>
                <w:rFonts w:hAnsi="Times New Roman" w:cs="Times New Roman"/>
                <w:lang w:val="lt-LT"/>
              </w:rPr>
              <w:t>a</w:t>
            </w:r>
            <w:r w:rsidR="007867D8">
              <w:rPr>
                <w:rFonts w:hAnsi="Times New Roman" w:cs="Times New Roman"/>
                <w:lang w:val="lt-LT"/>
              </w:rPr>
              <w:t>bilumo ir augimo pakto (SAP) peržiūros kontekste svarbiausia bus rasti balansą tarp poreikio m</w:t>
            </w:r>
            <w:r w:rsidR="007867D8">
              <w:rPr>
                <w:rFonts w:hAnsi="Times New Roman" w:cs="Times New Roman"/>
                <w:lang w:val="lt-LT"/>
              </w:rPr>
              <w:t>a</w:t>
            </w:r>
            <w:r w:rsidR="007867D8">
              <w:rPr>
                <w:rFonts w:hAnsi="Times New Roman" w:cs="Times New Roman"/>
                <w:lang w:val="lt-LT"/>
              </w:rPr>
              <w:t xml:space="preserve">žinti valstybės skolų lygius, atkurti fiskalinius rezervus bei palaikyti ekonomikos augimą. </w:t>
            </w:r>
            <w:r w:rsidR="00810730">
              <w:rPr>
                <w:rFonts w:hAnsi="Times New Roman" w:cs="Times New Roman"/>
                <w:lang w:val="lt-LT"/>
              </w:rPr>
              <w:t>Suti</w:t>
            </w:r>
            <w:r w:rsidR="00810730">
              <w:rPr>
                <w:rFonts w:hAnsi="Times New Roman" w:cs="Times New Roman"/>
                <w:lang w:val="lt-LT"/>
              </w:rPr>
              <w:t>n</w:t>
            </w:r>
            <w:r w:rsidR="00810730">
              <w:rPr>
                <w:rFonts w:hAnsi="Times New Roman" w:cs="Times New Roman"/>
                <w:lang w:val="lt-LT"/>
              </w:rPr>
              <w:t>kame su EK pasiūlytu darbo planu, nes siekiant kokybiško SAP peržiūros proceso, šioms diskus</w:t>
            </w:r>
            <w:r w:rsidR="00810730">
              <w:rPr>
                <w:rFonts w:hAnsi="Times New Roman" w:cs="Times New Roman"/>
                <w:lang w:val="lt-LT"/>
              </w:rPr>
              <w:t>i</w:t>
            </w:r>
            <w:r w:rsidR="00810730">
              <w:rPr>
                <w:rFonts w:hAnsi="Times New Roman" w:cs="Times New Roman"/>
                <w:lang w:val="lt-LT"/>
              </w:rPr>
              <w:t>joms reikia skirti pakankamai laiko.</w:t>
            </w:r>
            <w:r w:rsidR="00810730">
              <w:t xml:space="preserve"> </w:t>
            </w:r>
            <w:proofErr w:type="spellStart"/>
            <w:r w:rsidR="00810730">
              <w:t>M</w:t>
            </w:r>
            <w:r w:rsidR="00825E43">
              <w:t>anome</w:t>
            </w:r>
            <w:proofErr w:type="spellEnd"/>
            <w:r w:rsidR="00825E43">
              <w:t xml:space="preserve">, </w:t>
            </w:r>
            <w:proofErr w:type="spellStart"/>
            <w:r w:rsidR="00825E43">
              <w:t>kad</w:t>
            </w:r>
            <w:proofErr w:type="spellEnd"/>
            <w:r w:rsidR="00810730">
              <w:t xml:space="preserve"> </w:t>
            </w:r>
            <w:r w:rsidR="00810730" w:rsidRPr="00810730">
              <w:rPr>
                <w:rFonts w:hAnsi="Times New Roman" w:cs="Times New Roman"/>
                <w:lang w:val="lt-LT"/>
              </w:rPr>
              <w:t xml:space="preserve">SAP peržiūros proceso nereikėtų skubinti ir sieti su bendrosios lankstumo sąlygos (GEC) išjungimu nuo 2023 m., nes tai visiškai </w:t>
            </w:r>
            <w:r w:rsidR="00810730" w:rsidRPr="00825E43">
              <w:rPr>
                <w:rFonts w:hAnsi="Times New Roman" w:cs="Times New Roman"/>
                <w:lang w:val="lt-LT"/>
              </w:rPr>
              <w:t>atskiri pr</w:t>
            </w:r>
            <w:r w:rsidR="00810730" w:rsidRPr="00825E43">
              <w:rPr>
                <w:rFonts w:hAnsi="Times New Roman" w:cs="Times New Roman"/>
                <w:lang w:val="lt-LT"/>
              </w:rPr>
              <w:t>o</w:t>
            </w:r>
            <w:r w:rsidR="00810730" w:rsidRPr="00825E43">
              <w:rPr>
                <w:rFonts w:hAnsi="Times New Roman" w:cs="Times New Roman"/>
                <w:lang w:val="lt-LT"/>
              </w:rPr>
              <w:t>cesai su skirtingais tikslais.</w:t>
            </w:r>
            <w:r w:rsidR="00825E43" w:rsidRPr="00825E43">
              <w:rPr>
                <w:rFonts w:hAnsi="Times New Roman" w:cs="Times New Roman"/>
                <w:lang w:val="lt-LT"/>
              </w:rPr>
              <w:t xml:space="preserve"> Ilgalaikis fiskalinis tvarumas turėtų būti pagrindinis fiskalinių taisyklių peržiūros tikslas, tačiau t</w:t>
            </w:r>
            <w:r w:rsidR="00310122" w:rsidRPr="00310122">
              <w:rPr>
                <w:rFonts w:hAnsi="Times New Roman" w:cs="Times New Roman"/>
                <w:lang w:val="lt-LT" w:eastAsia="lt-LT"/>
              </w:rPr>
              <w:t>varumo turėtų būti sieki</w:t>
            </w:r>
            <w:r w:rsidR="00310122" w:rsidRPr="00310122">
              <w:rPr>
                <w:rFonts w:hAnsi="Times New Roman" w:cs="Times New Roman"/>
                <w:lang w:val="lt-LT" w:eastAsia="lt-LT"/>
              </w:rPr>
              <w:t>a</w:t>
            </w:r>
            <w:r w:rsidR="00310122" w:rsidRPr="00310122">
              <w:rPr>
                <w:rFonts w:hAnsi="Times New Roman" w:cs="Times New Roman"/>
                <w:lang w:val="lt-LT" w:eastAsia="lt-LT"/>
              </w:rPr>
              <w:t>ma tokiu būdu, kuris būtų palankus ekon</w:t>
            </w:r>
            <w:r w:rsidR="00310122" w:rsidRPr="00310122">
              <w:rPr>
                <w:rFonts w:hAnsi="Times New Roman" w:cs="Times New Roman"/>
                <w:lang w:val="lt-LT" w:eastAsia="lt-LT"/>
              </w:rPr>
              <w:t>o</w:t>
            </w:r>
            <w:r w:rsidR="00310122" w:rsidRPr="00310122">
              <w:rPr>
                <w:rFonts w:hAnsi="Times New Roman" w:cs="Times New Roman"/>
                <w:lang w:val="lt-LT" w:eastAsia="lt-LT"/>
              </w:rPr>
              <w:t>mi</w:t>
            </w:r>
            <w:r w:rsidR="00825E43" w:rsidRPr="00825E43">
              <w:rPr>
                <w:rFonts w:hAnsi="Times New Roman" w:cs="Times New Roman"/>
                <w:lang w:val="lt-LT" w:eastAsia="lt-LT"/>
              </w:rPr>
              <w:t>kos augimui. Manome, kad b</w:t>
            </w:r>
            <w:r w:rsidR="00310122" w:rsidRPr="00310122">
              <w:rPr>
                <w:rFonts w:hAnsi="Times New Roman" w:cs="Times New Roman"/>
                <w:lang w:val="lt-LT" w:eastAsia="lt-LT"/>
              </w:rPr>
              <w:t>ūtų galima svarstyti tam tikrą papildomą lankstumą produktyvioms investicijoms, prisidedančioms prie skaitmeninės ir žaliosios transformacijų bei ekonom</w:t>
            </w:r>
            <w:r w:rsidR="00310122" w:rsidRPr="00310122">
              <w:rPr>
                <w:rFonts w:hAnsi="Times New Roman" w:cs="Times New Roman"/>
                <w:lang w:val="lt-LT" w:eastAsia="lt-LT"/>
              </w:rPr>
              <w:t>i</w:t>
            </w:r>
            <w:r w:rsidR="00310122" w:rsidRPr="00310122">
              <w:rPr>
                <w:rFonts w:hAnsi="Times New Roman" w:cs="Times New Roman"/>
                <w:lang w:val="lt-LT" w:eastAsia="lt-LT"/>
              </w:rPr>
              <w:t>kos augimo</w:t>
            </w:r>
            <w:r w:rsidR="00A021AC">
              <w:rPr>
                <w:rFonts w:hAnsi="Times New Roman" w:cs="Times New Roman"/>
                <w:lang w:val="lt-LT" w:eastAsia="lt-LT"/>
              </w:rPr>
              <w:t>, tačiau numatant būtinus saugiklius ir sustiprinant investicijų kokybės vertinimus</w:t>
            </w:r>
            <w:r w:rsidR="00310122" w:rsidRPr="00310122">
              <w:rPr>
                <w:rFonts w:hAnsi="Times New Roman" w:cs="Times New Roman"/>
                <w:lang w:val="lt-LT" w:eastAsia="lt-LT"/>
              </w:rPr>
              <w:t>.</w:t>
            </w:r>
            <w:r w:rsidR="00310122" w:rsidRPr="00310122">
              <w:rPr>
                <w:b/>
                <w:lang w:val="lt-LT" w:eastAsia="lt-LT"/>
              </w:rPr>
              <w:t xml:space="preserve"> </w:t>
            </w:r>
          </w:p>
          <w:p w:rsidR="00A32B88" w:rsidRDefault="00A32B88" w:rsidP="007F5B19">
            <w:pPr>
              <w:pStyle w:val="BodyA"/>
              <w:jc w:val="both"/>
              <w:rPr>
                <w:rFonts w:hAnsi="Times New Roman" w:cs="Times New Roman"/>
                <w:b/>
                <w:lang w:val="lt-LT"/>
              </w:rPr>
            </w:pPr>
          </w:p>
          <w:p w:rsidR="007F5B19" w:rsidRPr="00A32B88" w:rsidRDefault="00A32B88" w:rsidP="00A32B88">
            <w:pPr>
              <w:pStyle w:val="BodyA"/>
              <w:jc w:val="both"/>
              <w:rPr>
                <w:rFonts w:hAnsi="Times New Roman" w:cs="Times New Roman"/>
                <w:b/>
                <w:lang w:val="lt-LT"/>
              </w:rPr>
            </w:pPr>
            <w:r w:rsidRPr="00A32B88">
              <w:rPr>
                <w:rFonts w:hAnsi="Times New Roman" w:cs="Times New Roman"/>
                <w:b/>
                <w:lang w:val="lt-LT"/>
              </w:rPr>
              <w:t xml:space="preserve">3. </w:t>
            </w:r>
            <w:r w:rsidR="007F5B19" w:rsidRPr="00A32B88">
              <w:rPr>
                <w:rFonts w:hAnsi="Times New Roman" w:cs="Times New Roman"/>
                <w:b/>
                <w:lang w:val="lt-LT"/>
              </w:rPr>
              <w:t xml:space="preserve">Ekonomikos gaivinimo ir atsparumo didinimo priemonė (RRF) </w:t>
            </w:r>
          </w:p>
          <w:p w:rsidR="007F5B19" w:rsidRPr="00A32B88" w:rsidRDefault="007F5B19" w:rsidP="00A32B88">
            <w:pPr>
              <w:pStyle w:val="BodyA"/>
              <w:jc w:val="both"/>
              <w:rPr>
                <w:rFonts w:hAnsi="Times New Roman" w:cs="Times New Roman"/>
                <w:b/>
                <w:lang w:val="lt-LT"/>
              </w:rPr>
            </w:pPr>
            <w:r w:rsidRPr="00A32B88">
              <w:rPr>
                <w:rFonts w:hAnsi="Times New Roman" w:cs="Times New Roman"/>
                <w:b/>
                <w:lang w:val="lt-LT"/>
              </w:rPr>
              <w:t>a) RRF įgyvendinimas (</w:t>
            </w:r>
            <w:r w:rsidRPr="00A32B88">
              <w:rPr>
                <w:rFonts w:hAnsi="Times New Roman" w:cs="Times New Roman"/>
                <w:i/>
                <w:lang w:val="lt-LT"/>
              </w:rPr>
              <w:t>Dabartinė padėtis / pasikeitimas nuomonėmis)</w:t>
            </w:r>
          </w:p>
          <w:p w:rsidR="00A32B88" w:rsidRPr="00A32B88" w:rsidRDefault="007F5B19" w:rsidP="00A32B88">
            <w:pPr>
              <w:pStyle w:val="BodyA"/>
              <w:jc w:val="both"/>
              <w:rPr>
                <w:rFonts w:hAnsi="Times New Roman" w:cs="Times New Roman"/>
                <w:i/>
                <w:lang w:val="lt-LT"/>
              </w:rPr>
            </w:pPr>
            <w:r w:rsidRPr="00A32B88">
              <w:rPr>
                <w:rFonts w:hAnsi="Times New Roman" w:cs="Times New Roman"/>
                <w:b/>
                <w:lang w:val="lt-LT"/>
              </w:rPr>
              <w:t xml:space="preserve">b) </w:t>
            </w:r>
            <w:r w:rsidR="00A32B88" w:rsidRPr="00A32B88">
              <w:rPr>
                <w:rFonts w:hAnsi="Times New Roman" w:cs="Times New Roman"/>
                <w:lang w:val="lt-LT"/>
              </w:rPr>
              <w:t xml:space="preserve">(galimas) </w:t>
            </w:r>
            <w:r w:rsidRPr="00A32B88">
              <w:rPr>
                <w:rFonts w:hAnsi="Times New Roman" w:cs="Times New Roman"/>
                <w:b/>
                <w:lang w:val="lt-LT"/>
              </w:rPr>
              <w:t>Tarybos įgyvendinimo sprendimas pagal RRF reglamentą</w:t>
            </w:r>
            <w:r w:rsidR="00A32B88" w:rsidRPr="00A32B88">
              <w:rPr>
                <w:rFonts w:hAnsi="Times New Roman" w:cs="Times New Roman"/>
                <w:b/>
                <w:lang w:val="lt-LT"/>
              </w:rPr>
              <w:t xml:space="preserve"> </w:t>
            </w:r>
            <w:r w:rsidRPr="00A32B88">
              <w:rPr>
                <w:rFonts w:hAnsi="Times New Roman" w:cs="Times New Roman"/>
                <w:i/>
                <w:lang w:val="lt-LT"/>
              </w:rPr>
              <w:t xml:space="preserve">(Priėmimas) </w:t>
            </w:r>
          </w:p>
          <w:p w:rsidR="00A32B88" w:rsidRPr="00A32B88" w:rsidRDefault="00A32B88" w:rsidP="00A32B88">
            <w:pPr>
              <w:pStyle w:val="BodyA"/>
              <w:jc w:val="both"/>
              <w:rPr>
                <w:rFonts w:hAnsi="Times New Roman" w:cs="Times New Roman"/>
                <w:i/>
                <w:lang w:val="lt-LT"/>
              </w:rPr>
            </w:pPr>
            <w:r w:rsidRPr="00A32B88">
              <w:rPr>
                <w:rFonts w:hAnsi="Times New Roman" w:cs="Times New Roman"/>
                <w:b/>
                <w:lang w:val="lt-LT"/>
              </w:rPr>
              <w:t>c)</w:t>
            </w:r>
            <w:r w:rsidRPr="00A32B88">
              <w:rPr>
                <w:rFonts w:hAnsi="Times New Roman" w:cs="Times New Roman"/>
                <w:i/>
                <w:lang w:val="lt-LT"/>
              </w:rPr>
              <w:t xml:space="preserve"> </w:t>
            </w:r>
            <w:r w:rsidRPr="00A32B88">
              <w:rPr>
                <w:rFonts w:eastAsia="Calibri" w:hAnsi="Times New Roman" w:cs="Times New Roman"/>
                <w:b/>
                <w:bdr w:val="none" w:sz="0" w:space="0" w:color="auto"/>
                <w:lang w:val="lt-LT" w:eastAsia="fr-BE"/>
              </w:rPr>
              <w:t>Priemonės „</w:t>
            </w:r>
            <w:proofErr w:type="spellStart"/>
            <w:r w:rsidRPr="00A32B88">
              <w:rPr>
                <w:rFonts w:eastAsia="Calibri" w:hAnsi="Times New Roman" w:cs="Times New Roman"/>
                <w:b/>
                <w:bdr w:val="none" w:sz="0" w:space="0" w:color="auto"/>
                <w:lang w:val="lt-LT" w:eastAsia="fr-BE"/>
              </w:rPr>
              <w:t>Next</w:t>
            </w:r>
            <w:proofErr w:type="spellEnd"/>
            <w:r w:rsidRPr="00A32B88">
              <w:rPr>
                <w:rFonts w:eastAsia="Calibri" w:hAnsi="Times New Roman" w:cs="Times New Roman"/>
                <w:b/>
                <w:bdr w:val="none" w:sz="0" w:space="0" w:color="auto"/>
                <w:lang w:val="lt-LT" w:eastAsia="fr-BE"/>
              </w:rPr>
              <w:t xml:space="preserve"> </w:t>
            </w:r>
            <w:proofErr w:type="spellStart"/>
            <w:r w:rsidRPr="00A32B88">
              <w:rPr>
                <w:rFonts w:eastAsia="Calibri" w:hAnsi="Times New Roman" w:cs="Times New Roman"/>
                <w:b/>
                <w:bdr w:val="none" w:sz="0" w:space="0" w:color="auto"/>
                <w:lang w:val="lt-LT" w:eastAsia="fr-BE"/>
              </w:rPr>
              <w:t>Generation</w:t>
            </w:r>
            <w:proofErr w:type="spellEnd"/>
            <w:r w:rsidRPr="00A32B88">
              <w:rPr>
                <w:rFonts w:eastAsia="Calibri" w:hAnsi="Times New Roman" w:cs="Times New Roman"/>
                <w:b/>
                <w:bdr w:val="none" w:sz="0" w:space="0" w:color="auto"/>
                <w:lang w:val="lt-LT" w:eastAsia="fr-BE"/>
              </w:rPr>
              <w:t xml:space="preserve"> EU“ finansavimas</w:t>
            </w:r>
            <w:r w:rsidRPr="00A32B88">
              <w:rPr>
                <w:rFonts w:eastAsia="Calibri" w:hAnsi="Times New Roman" w:cs="Times New Roman"/>
                <w:bdr w:val="none" w:sz="0" w:space="0" w:color="auto"/>
                <w:lang w:val="lt-LT" w:eastAsia="fr-BE"/>
              </w:rPr>
              <w:t xml:space="preserve"> (</w:t>
            </w:r>
            <w:r w:rsidRPr="00A32B88">
              <w:rPr>
                <w:rFonts w:eastAsia="Calibri" w:hAnsi="Times New Roman" w:cs="Times New Roman"/>
                <w:i/>
                <w:iCs/>
                <w:szCs w:val="22"/>
                <w:bdr w:val="none" w:sz="0" w:space="0" w:color="auto"/>
                <w:lang w:val="lt-LT"/>
              </w:rPr>
              <w:t>Dabartinė padėtis/</w:t>
            </w:r>
            <w:r w:rsidRPr="00A32B88">
              <w:rPr>
                <w:rFonts w:eastAsia="Calibri" w:hAnsi="Times New Roman" w:cs="Times New Roman"/>
                <w:i/>
                <w:iCs/>
                <w:color w:val="auto"/>
                <w:szCs w:val="22"/>
                <w:bdr w:val="none" w:sz="0" w:space="0" w:color="auto"/>
                <w:lang w:val="lt-LT"/>
              </w:rPr>
              <w:t>Pasikeitimas nuomon</w:t>
            </w:r>
            <w:r w:rsidRPr="00A32B88">
              <w:rPr>
                <w:rFonts w:eastAsia="Calibri" w:hAnsi="Times New Roman" w:cs="Times New Roman"/>
                <w:i/>
                <w:iCs/>
                <w:color w:val="auto"/>
                <w:szCs w:val="22"/>
                <w:bdr w:val="none" w:sz="0" w:space="0" w:color="auto"/>
                <w:lang w:val="lt-LT"/>
              </w:rPr>
              <w:t>ė</w:t>
            </w:r>
            <w:r w:rsidRPr="00A32B88">
              <w:rPr>
                <w:rFonts w:eastAsia="Calibri" w:hAnsi="Times New Roman" w:cs="Times New Roman"/>
                <w:i/>
                <w:iCs/>
                <w:color w:val="auto"/>
                <w:szCs w:val="22"/>
                <w:bdr w:val="none" w:sz="0" w:space="0" w:color="auto"/>
                <w:lang w:val="lt-LT"/>
              </w:rPr>
              <w:t>mis</w:t>
            </w:r>
            <w:r w:rsidRPr="00A32B88">
              <w:rPr>
                <w:rFonts w:eastAsia="Calibri" w:hAnsi="Times New Roman" w:cs="Times New Roman"/>
                <w:i/>
                <w:iCs/>
                <w:szCs w:val="22"/>
                <w:bdr w:val="none" w:sz="0" w:space="0" w:color="auto"/>
                <w:lang w:val="lt-LT"/>
              </w:rPr>
              <w:t>)</w:t>
            </w:r>
          </w:p>
          <w:p w:rsidR="00A70677" w:rsidRDefault="00816959" w:rsidP="00743EDA">
            <w:pPr>
              <w:pStyle w:val="BodyA"/>
              <w:jc w:val="both"/>
              <w:rPr>
                <w:rFonts w:hAnsi="Times New Roman" w:cs="Times New Roman"/>
                <w:lang w:val="lt-LT"/>
              </w:rPr>
            </w:pPr>
            <w:r w:rsidRPr="00743EDA">
              <w:rPr>
                <w:rFonts w:hAnsi="Times New Roman" w:cs="Times New Roman"/>
                <w:b/>
                <w:u w:val="single"/>
                <w:lang w:val="lt-LT"/>
              </w:rPr>
              <w:t>Klausimo esmė.</w:t>
            </w:r>
            <w:r w:rsidRPr="00743EDA">
              <w:rPr>
                <w:rFonts w:hAnsi="Times New Roman" w:cs="Times New Roman"/>
                <w:lang w:val="lt-LT"/>
              </w:rPr>
              <w:t xml:space="preserve"> </w:t>
            </w:r>
          </w:p>
          <w:p w:rsidR="00743EDA" w:rsidRDefault="00A70677" w:rsidP="00743EDA">
            <w:pPr>
              <w:pStyle w:val="BodyA"/>
              <w:jc w:val="both"/>
              <w:rPr>
                <w:rFonts w:hAnsi="Times New Roman" w:cs="Times New Roman"/>
                <w:lang w:val="lt-LT"/>
              </w:rPr>
            </w:pPr>
            <w:r w:rsidRPr="00A70677">
              <w:rPr>
                <w:rFonts w:hAnsi="Times New Roman" w:cs="Times New Roman"/>
                <w:u w:val="single"/>
                <w:lang w:val="lt-LT"/>
              </w:rPr>
              <w:t>RRF priemonės įgyvendinimas.</w:t>
            </w:r>
            <w:r>
              <w:rPr>
                <w:rFonts w:hAnsi="Times New Roman" w:cs="Times New Roman"/>
                <w:lang w:val="lt-LT"/>
              </w:rPr>
              <w:t xml:space="preserve"> </w:t>
            </w:r>
            <w:r w:rsidR="00185FD2" w:rsidRPr="00743EDA">
              <w:rPr>
                <w:rFonts w:hAnsi="Times New Roman" w:cs="Times New Roman"/>
                <w:lang w:val="lt-LT"/>
              </w:rPr>
              <w:t>ECOFIN metu Europos Komisija (toliau – EK) pateiks inform</w:t>
            </w:r>
            <w:r w:rsidR="00185FD2" w:rsidRPr="00743EDA">
              <w:rPr>
                <w:rFonts w:hAnsi="Times New Roman" w:cs="Times New Roman"/>
                <w:lang w:val="lt-LT"/>
              </w:rPr>
              <w:t>a</w:t>
            </w:r>
            <w:r w:rsidR="00185FD2" w:rsidRPr="00743EDA">
              <w:rPr>
                <w:rFonts w:hAnsi="Times New Roman" w:cs="Times New Roman"/>
                <w:lang w:val="lt-LT"/>
              </w:rPr>
              <w:t xml:space="preserve">ciją apie </w:t>
            </w:r>
            <w:r w:rsidR="002446DC" w:rsidRPr="00743EDA">
              <w:rPr>
                <w:rFonts w:hAnsi="Times New Roman" w:cs="Times New Roman"/>
                <w:lang w:val="lt-LT"/>
              </w:rPr>
              <w:t>e</w:t>
            </w:r>
            <w:r w:rsidR="00185FD2" w:rsidRPr="00743EDA">
              <w:rPr>
                <w:rFonts w:hAnsi="Times New Roman" w:cs="Times New Roman"/>
                <w:lang w:val="lt-LT"/>
              </w:rPr>
              <w:t xml:space="preserve">samą situaciją. </w:t>
            </w:r>
            <w:r w:rsidR="00A32B88" w:rsidRPr="00743EDA">
              <w:rPr>
                <w:rFonts w:hAnsi="Times New Roman" w:cs="Times New Roman"/>
                <w:lang w:val="lt-LT"/>
              </w:rPr>
              <w:t>Iki šiol EK oficialiai RRP pateikė 26 šalys (plano dar nepateikė NL). EK jau yra pate</w:t>
            </w:r>
            <w:r w:rsidR="00A32B88" w:rsidRPr="00743EDA">
              <w:rPr>
                <w:rFonts w:hAnsi="Times New Roman" w:cs="Times New Roman"/>
                <w:lang w:val="lt-LT"/>
              </w:rPr>
              <w:t>i</w:t>
            </w:r>
            <w:r w:rsidR="00A32B88" w:rsidRPr="00743EDA">
              <w:rPr>
                <w:rFonts w:hAnsi="Times New Roman" w:cs="Times New Roman"/>
                <w:lang w:val="lt-LT"/>
              </w:rPr>
              <w:t>kusi 2</w:t>
            </w:r>
            <w:r w:rsidR="00A32B88" w:rsidRPr="00743EDA">
              <w:rPr>
                <w:rFonts w:hAnsi="Times New Roman" w:cs="Times New Roman"/>
                <w:lang w:val="en-GB"/>
              </w:rPr>
              <w:t>2</w:t>
            </w:r>
            <w:r w:rsidR="00A32B88" w:rsidRPr="00743EDA">
              <w:rPr>
                <w:rFonts w:hAnsi="Times New Roman" w:cs="Times New Roman"/>
                <w:lang w:val="lt-LT"/>
              </w:rPr>
              <w:t xml:space="preserve"> šalių planų vertinimus, visi jie teigiami.</w:t>
            </w:r>
            <w:r w:rsidR="00052A62" w:rsidRPr="00743EDA">
              <w:rPr>
                <w:rFonts w:hAnsi="Times New Roman" w:cs="Times New Roman"/>
                <w:lang w:val="lt-LT"/>
              </w:rPr>
              <w:t xml:space="preserve"> </w:t>
            </w:r>
            <w:r w:rsidR="00743EDA">
              <w:rPr>
                <w:rFonts w:hAnsi="Times New Roman" w:cs="Times New Roman"/>
                <w:lang w:val="lt-LT"/>
              </w:rPr>
              <w:t xml:space="preserve">Iki šiol EK </w:t>
            </w:r>
            <w:r w:rsidR="00743EDA" w:rsidRPr="00743EDA">
              <w:rPr>
                <w:rFonts w:hAnsi="Times New Roman" w:cs="Times New Roman"/>
                <w:lang w:val="lt-LT"/>
              </w:rPr>
              <w:t>nėra pateikusi SE, BG, HU ir PL planų ve</w:t>
            </w:r>
            <w:r w:rsidR="00743EDA" w:rsidRPr="00743EDA">
              <w:rPr>
                <w:rFonts w:hAnsi="Times New Roman" w:cs="Times New Roman"/>
                <w:lang w:val="lt-LT"/>
              </w:rPr>
              <w:t>r</w:t>
            </w:r>
            <w:r w:rsidR="00743EDA" w:rsidRPr="00743EDA">
              <w:rPr>
                <w:rFonts w:hAnsi="Times New Roman" w:cs="Times New Roman"/>
                <w:lang w:val="lt-LT"/>
              </w:rPr>
              <w:t xml:space="preserve">tinimo. </w:t>
            </w:r>
            <w:r w:rsidR="00743EDA">
              <w:rPr>
                <w:rFonts w:hAnsi="Times New Roman" w:cs="Times New Roman"/>
                <w:lang w:val="lt-LT"/>
              </w:rPr>
              <w:t>P</w:t>
            </w:r>
            <w:r w:rsidR="00743EDA" w:rsidRPr="00743EDA">
              <w:rPr>
                <w:rFonts w:hAnsi="Times New Roman" w:cs="Times New Roman"/>
                <w:lang w:val="lt-LT"/>
              </w:rPr>
              <w:t>lanuojama, kad Komisija artimiausiu metu galėtų pateikti SE ir BG planų vertinimus.</w:t>
            </w:r>
          </w:p>
          <w:p w:rsidR="00F56596" w:rsidRPr="00743EDA" w:rsidRDefault="00052A62" w:rsidP="00743EDA">
            <w:pPr>
              <w:pStyle w:val="BodyA"/>
              <w:jc w:val="both"/>
              <w:rPr>
                <w:rFonts w:hAnsi="Times New Roman" w:cs="Times New Roman"/>
                <w:lang w:val="lt-LT"/>
              </w:rPr>
            </w:pPr>
            <w:r w:rsidRPr="00743EDA">
              <w:rPr>
                <w:rFonts w:hAnsi="Times New Roman" w:cs="Times New Roman"/>
                <w:lang w:val="lt-LT"/>
              </w:rPr>
              <w:t>19</w:t>
            </w:r>
            <w:r w:rsidR="00A32B88" w:rsidRPr="00743EDA">
              <w:rPr>
                <w:rFonts w:hAnsi="Times New Roman" w:cs="Times New Roman"/>
                <w:lang w:val="lt-LT"/>
              </w:rPr>
              <w:t xml:space="preserve"> RRF planų </w:t>
            </w:r>
            <w:r w:rsidR="00743EDA" w:rsidRPr="00743EDA">
              <w:rPr>
                <w:rFonts w:hAnsi="Times New Roman" w:cs="Times New Roman"/>
                <w:lang w:val="lt-LT"/>
              </w:rPr>
              <w:t xml:space="preserve">(PT, ESP, GR, DK, LU, AT, SK, LV, DE, IT, FR, BE, SI, LT, CY, HR, IE, CZ, MT) </w:t>
            </w:r>
            <w:r w:rsidR="00A32B88" w:rsidRPr="00743EDA">
              <w:rPr>
                <w:rFonts w:hAnsi="Times New Roman" w:cs="Times New Roman"/>
                <w:lang w:val="lt-LT"/>
              </w:rPr>
              <w:t>vertinimai jau buv</w:t>
            </w:r>
            <w:r w:rsidRPr="00743EDA">
              <w:rPr>
                <w:rFonts w:hAnsi="Times New Roman" w:cs="Times New Roman"/>
                <w:lang w:val="lt-LT"/>
              </w:rPr>
              <w:t>o patvirtinti Tarybos</w:t>
            </w:r>
            <w:r w:rsidR="00743EDA" w:rsidRPr="00743EDA">
              <w:rPr>
                <w:rFonts w:hAnsi="Times New Roman" w:cs="Times New Roman"/>
                <w:lang w:val="lt-LT"/>
              </w:rPr>
              <w:t xml:space="preserve">. </w:t>
            </w:r>
            <w:r w:rsidRPr="00743EDA">
              <w:rPr>
                <w:rFonts w:hAnsi="Times New Roman" w:cs="Times New Roman"/>
                <w:lang w:val="lt-LT"/>
              </w:rPr>
              <w:t>EE, RO ir FI planai aptarti spalio 28 d. ECOFIN, artimiausiu metu jie bus oficialiai patvirtinti rašytinės procedūros būdu.</w:t>
            </w:r>
            <w:r w:rsidR="00743EDA">
              <w:rPr>
                <w:rFonts w:hAnsi="Times New Roman" w:cs="Times New Roman"/>
                <w:lang w:val="lt-LT"/>
              </w:rPr>
              <w:t xml:space="preserve"> </w:t>
            </w:r>
            <w:r w:rsidR="00F56596" w:rsidRPr="00743EDA">
              <w:rPr>
                <w:rFonts w:hAnsi="Times New Roman" w:cs="Times New Roman"/>
                <w:lang w:val="lt-LT"/>
              </w:rPr>
              <w:t>Prireikus planus bus g</w:t>
            </w:r>
            <w:r w:rsidR="00F56596" w:rsidRPr="00743EDA">
              <w:rPr>
                <w:rFonts w:hAnsi="Times New Roman" w:cs="Times New Roman"/>
                <w:lang w:val="lt-LT"/>
              </w:rPr>
              <w:t>a</w:t>
            </w:r>
            <w:r w:rsidR="00F56596" w:rsidRPr="00743EDA">
              <w:rPr>
                <w:rFonts w:hAnsi="Times New Roman" w:cs="Times New Roman"/>
                <w:lang w:val="lt-LT"/>
              </w:rPr>
              <w:t>lima peržiūrėti ir tikslinti 2022 m., kadangi 2022 m. birželį paaiškės galutiniai 30 % RRF krepšelio asignavimai valst</w:t>
            </w:r>
            <w:r w:rsidR="00F56596" w:rsidRPr="00743EDA">
              <w:rPr>
                <w:rFonts w:hAnsi="Times New Roman" w:cs="Times New Roman"/>
                <w:lang w:val="lt-LT"/>
              </w:rPr>
              <w:t>y</w:t>
            </w:r>
            <w:r w:rsidR="00F56596" w:rsidRPr="00743EDA">
              <w:rPr>
                <w:rFonts w:hAnsi="Times New Roman" w:cs="Times New Roman"/>
                <w:lang w:val="lt-LT"/>
              </w:rPr>
              <w:t>bėms narėms (VN). Po RRP plano patvirtinimo pasirašomi finansavimo susitarimai, kurie sudaro p</w:t>
            </w:r>
            <w:r w:rsidR="00F56596" w:rsidRPr="00743EDA">
              <w:rPr>
                <w:rFonts w:hAnsi="Times New Roman" w:cs="Times New Roman"/>
                <w:lang w:val="lt-LT"/>
              </w:rPr>
              <w:t>a</w:t>
            </w:r>
            <w:r w:rsidR="00F56596" w:rsidRPr="00743EDA">
              <w:rPr>
                <w:rFonts w:hAnsi="Times New Roman" w:cs="Times New Roman"/>
                <w:lang w:val="lt-LT"/>
              </w:rPr>
              <w:t>grindą šaliai pervesti 13 proc. avansinį mokėjimą ir atlikti paskesnius mokėjimus plano įgyvendinimo metu. Lietuva jau pasirašė plano finansavimo susitarimą ir gavo 13 proc. (289 mln. EUR) avansinį m</w:t>
            </w:r>
            <w:r w:rsidR="00F56596" w:rsidRPr="00743EDA">
              <w:rPr>
                <w:rFonts w:hAnsi="Times New Roman" w:cs="Times New Roman"/>
                <w:lang w:val="lt-LT"/>
              </w:rPr>
              <w:t>o</w:t>
            </w:r>
            <w:r w:rsidR="00F56596" w:rsidRPr="00743EDA">
              <w:rPr>
                <w:rFonts w:hAnsi="Times New Roman" w:cs="Times New Roman"/>
                <w:lang w:val="lt-LT"/>
              </w:rPr>
              <w:t>kėjimą.</w:t>
            </w:r>
          </w:p>
          <w:p w:rsidR="00743EDA" w:rsidRDefault="00743EDA" w:rsidP="00743EDA">
            <w:pPr>
              <w:pStyle w:val="BodyA"/>
              <w:tabs>
                <w:tab w:val="left" w:pos="2719"/>
              </w:tabs>
              <w:jc w:val="both"/>
              <w:rPr>
                <w:rFonts w:hAnsi="Times New Roman" w:cs="Times New Roman"/>
                <w:lang w:val="lt-LT"/>
              </w:rPr>
            </w:pPr>
          </w:p>
          <w:p w:rsidR="00816959" w:rsidRPr="00E47362" w:rsidRDefault="00A70677" w:rsidP="00743EDA">
            <w:pPr>
              <w:pStyle w:val="BodyA"/>
              <w:tabs>
                <w:tab w:val="left" w:pos="2719"/>
              </w:tabs>
              <w:jc w:val="both"/>
              <w:rPr>
                <w:rFonts w:hAnsi="Times New Roman" w:cs="Times New Roman"/>
                <w:lang w:val="lt-LT"/>
              </w:rPr>
            </w:pPr>
            <w:r>
              <w:rPr>
                <w:rFonts w:hAnsi="Times New Roman" w:cs="Times New Roman"/>
                <w:u w:val="single"/>
                <w:lang w:val="lt-LT"/>
              </w:rPr>
              <w:t>„</w:t>
            </w:r>
            <w:r w:rsidRPr="00A70677">
              <w:rPr>
                <w:rFonts w:hAnsi="Times New Roman" w:cs="Times New Roman"/>
                <w:u w:val="single"/>
                <w:lang w:val="lt-LT"/>
              </w:rPr>
              <w:t>Kitos kartos ES</w:t>
            </w:r>
            <w:r>
              <w:rPr>
                <w:rFonts w:hAnsi="Times New Roman" w:cs="Times New Roman"/>
                <w:u w:val="single"/>
                <w:lang w:val="lt-LT"/>
              </w:rPr>
              <w:t>“ NGEU</w:t>
            </w:r>
            <w:r w:rsidRPr="00A70677">
              <w:rPr>
                <w:rFonts w:hAnsi="Times New Roman" w:cs="Times New Roman"/>
                <w:u w:val="single"/>
                <w:lang w:val="lt-LT"/>
              </w:rPr>
              <w:t xml:space="preserve"> finansavimas.</w:t>
            </w:r>
            <w:r>
              <w:rPr>
                <w:rFonts w:hAnsi="Times New Roman" w:cs="Times New Roman"/>
                <w:lang w:val="lt-LT"/>
              </w:rPr>
              <w:t xml:space="preserve"> </w:t>
            </w:r>
            <w:r w:rsidR="00743EDA">
              <w:rPr>
                <w:rFonts w:hAnsi="Times New Roman" w:cs="Times New Roman"/>
                <w:lang w:val="lt-LT"/>
              </w:rPr>
              <w:t>N</w:t>
            </w:r>
            <w:r w:rsidR="00743EDA" w:rsidRPr="00743EDA">
              <w:rPr>
                <w:rFonts w:hAnsi="Times New Roman" w:cs="Times New Roman"/>
                <w:lang w:val="lt-LT"/>
              </w:rPr>
              <w:t>uo š. m. birželio mėn. EK  rinkose palankiomis sąl</w:t>
            </w:r>
            <w:r w:rsidR="00743EDA" w:rsidRPr="00743EDA">
              <w:rPr>
                <w:rFonts w:hAnsi="Times New Roman" w:cs="Times New Roman"/>
                <w:lang w:val="lt-LT"/>
              </w:rPr>
              <w:t>y</w:t>
            </w:r>
            <w:r w:rsidR="00743EDA" w:rsidRPr="00743EDA">
              <w:rPr>
                <w:rFonts w:hAnsi="Times New Roman" w:cs="Times New Roman"/>
                <w:lang w:val="lt-LT"/>
              </w:rPr>
              <w:t>gomis jau pasiskolino 56,5 mlrd. eurų NGEU įgyvendinimui (iš jų 49 mlrd. eurų numatyti skirti RRF finansav</w:t>
            </w:r>
            <w:r w:rsidR="00743EDA" w:rsidRPr="00743EDA">
              <w:rPr>
                <w:rFonts w:hAnsi="Times New Roman" w:cs="Times New Roman"/>
                <w:lang w:val="lt-LT"/>
              </w:rPr>
              <w:t>i</w:t>
            </w:r>
            <w:r w:rsidR="00743EDA" w:rsidRPr="00743EDA">
              <w:rPr>
                <w:rFonts w:hAnsi="Times New Roman" w:cs="Times New Roman"/>
                <w:lang w:val="lt-LT"/>
              </w:rPr>
              <w:t>mui). Be to, spalio 12 d. EK išplatino pirmas ES žaliąsias  obligacijas – tai lig šiol didžiausios apimties žaliųjų vertybinių popierių pardavimas ir pirmasis žingsnis link EK tapimo didžiausia pasaulyje žaliųjų vertybinių popierių platintoja. EK išplatino 15 metų trukmės žaliųjų obligacijų už 12 mlrd. eurų (p</w:t>
            </w:r>
            <w:r w:rsidR="00743EDA" w:rsidRPr="00743EDA">
              <w:rPr>
                <w:rFonts w:hAnsi="Times New Roman" w:cs="Times New Roman"/>
                <w:lang w:val="lt-LT"/>
              </w:rPr>
              <w:t>a</w:t>
            </w:r>
            <w:r w:rsidR="00743EDA" w:rsidRPr="00743EDA">
              <w:rPr>
                <w:rFonts w:hAnsi="Times New Roman" w:cs="Times New Roman"/>
                <w:lang w:val="lt-LT"/>
              </w:rPr>
              <w:t>klausa rink</w:t>
            </w:r>
            <w:r w:rsidR="00743EDA">
              <w:rPr>
                <w:rFonts w:hAnsi="Times New Roman" w:cs="Times New Roman"/>
                <w:lang w:val="lt-LT"/>
              </w:rPr>
              <w:t xml:space="preserve">oje siekė net 135 mlrd. eurų). </w:t>
            </w:r>
            <w:r w:rsidR="00743EDA" w:rsidRPr="00743EDA">
              <w:rPr>
                <w:rFonts w:hAnsi="Times New Roman" w:cs="Times New Roman"/>
                <w:lang w:val="lt-LT"/>
              </w:rPr>
              <w:t>EK įgyvendinama divers</w:t>
            </w:r>
            <w:r w:rsidR="00743EDA" w:rsidRPr="00743EDA">
              <w:rPr>
                <w:rFonts w:hAnsi="Times New Roman" w:cs="Times New Roman"/>
                <w:lang w:val="lt-LT"/>
              </w:rPr>
              <w:t>i</w:t>
            </w:r>
            <w:r w:rsidR="00743EDA" w:rsidRPr="00743EDA">
              <w:rPr>
                <w:rFonts w:hAnsi="Times New Roman" w:cs="Times New Roman"/>
                <w:lang w:val="lt-LT"/>
              </w:rPr>
              <w:t>fikuota skolinimosi strategija leidžia užtikrinti, kad pasiskolintų NGEU lėšų grąžinimas išsidėstys tolygiomis dalimis nuo 2028 iki 2058 m</w:t>
            </w:r>
            <w:r w:rsidR="00743EDA" w:rsidRPr="00743EDA">
              <w:rPr>
                <w:rFonts w:hAnsi="Times New Roman" w:cs="Times New Roman"/>
                <w:lang w:val="lt-LT"/>
              </w:rPr>
              <w:t>e</w:t>
            </w:r>
            <w:r w:rsidR="00743EDA" w:rsidRPr="00743EDA">
              <w:rPr>
                <w:rFonts w:hAnsi="Times New Roman" w:cs="Times New Roman"/>
                <w:lang w:val="lt-LT"/>
              </w:rPr>
              <w:t>tų. Įvedus naujus ES nuosavus išteklius, skolos grąžin</w:t>
            </w:r>
            <w:r w:rsidR="00743EDA" w:rsidRPr="00743EDA">
              <w:rPr>
                <w:rFonts w:hAnsi="Times New Roman" w:cs="Times New Roman"/>
                <w:lang w:val="lt-LT"/>
              </w:rPr>
              <w:t>i</w:t>
            </w:r>
            <w:r w:rsidR="00743EDA" w:rsidRPr="00743EDA">
              <w:rPr>
                <w:rFonts w:hAnsi="Times New Roman" w:cs="Times New Roman"/>
                <w:lang w:val="lt-LT"/>
              </w:rPr>
              <w:t>mas galėtų prasidėti ir anksčiau.</w:t>
            </w:r>
            <w:r w:rsidR="00625288">
              <w:rPr>
                <w:rFonts w:hAnsi="Times New Roman" w:cs="Times New Roman"/>
                <w:lang w:val="lt-LT"/>
              </w:rPr>
              <w:tab/>
            </w:r>
          </w:p>
          <w:p w:rsidR="009C6662" w:rsidRPr="00743EDA" w:rsidRDefault="00816959" w:rsidP="00EC2021">
            <w:pPr>
              <w:pStyle w:val="BodyA"/>
              <w:jc w:val="both"/>
              <w:rPr>
                <w:rFonts w:hAnsi="Times New Roman" w:cs="Times New Roman"/>
                <w:u w:val="single"/>
                <w:lang w:val="lt-LT"/>
              </w:rPr>
            </w:pPr>
            <w:r w:rsidRPr="00E47362">
              <w:rPr>
                <w:rFonts w:hAnsi="Times New Roman" w:cs="Times New Roman"/>
                <w:b/>
                <w:u w:val="single"/>
                <w:lang w:val="lt-LT"/>
              </w:rPr>
              <w:t>Lietuvos pozicija</w:t>
            </w:r>
            <w:r w:rsidRPr="00E47362">
              <w:rPr>
                <w:rFonts w:hAnsi="Times New Roman" w:cs="Times New Roman"/>
                <w:u w:val="single"/>
                <w:lang w:val="lt-LT"/>
              </w:rPr>
              <w:t>.</w:t>
            </w:r>
            <w:r w:rsidRPr="00E47362">
              <w:rPr>
                <w:rFonts w:hAnsi="Times New Roman" w:cs="Times New Roman"/>
                <w:lang w:val="lt-LT"/>
              </w:rPr>
              <w:t xml:space="preserve"> </w:t>
            </w:r>
            <w:r w:rsidR="00350671">
              <w:rPr>
                <w:rFonts w:hAnsi="Times New Roman" w:cs="Times New Roman"/>
                <w:lang w:val="lt-LT"/>
              </w:rPr>
              <w:t xml:space="preserve">Išklausyti informaciją. </w:t>
            </w:r>
            <w:r w:rsidR="00350671" w:rsidRPr="00743EDA">
              <w:rPr>
                <w:rFonts w:hAnsi="Times New Roman" w:cs="Times New Roman"/>
                <w:u w:val="single"/>
                <w:lang w:val="lt-LT"/>
              </w:rPr>
              <w:t>Pozicija gali būti tikslinama gavus su posėdžiu susij</w:t>
            </w:r>
            <w:r w:rsidR="00350671" w:rsidRPr="00743EDA">
              <w:rPr>
                <w:rFonts w:hAnsi="Times New Roman" w:cs="Times New Roman"/>
                <w:u w:val="single"/>
                <w:lang w:val="lt-LT"/>
              </w:rPr>
              <w:t>u</w:t>
            </w:r>
            <w:r w:rsidR="00350671" w:rsidRPr="00743EDA">
              <w:rPr>
                <w:rFonts w:hAnsi="Times New Roman" w:cs="Times New Roman"/>
                <w:u w:val="single"/>
                <w:lang w:val="lt-LT"/>
              </w:rPr>
              <w:t xml:space="preserve">sius </w:t>
            </w:r>
            <w:r w:rsidR="00350671" w:rsidRPr="00743EDA">
              <w:rPr>
                <w:rFonts w:hAnsi="Times New Roman" w:cs="Times New Roman"/>
                <w:u w:val="single"/>
                <w:lang w:val="lt-LT"/>
              </w:rPr>
              <w:lastRenderedPageBreak/>
              <w:t>dokumentus.</w:t>
            </w:r>
          </w:p>
          <w:p w:rsidR="00C70F7A" w:rsidRDefault="00C70F7A" w:rsidP="009C6662">
            <w:pPr>
              <w:pStyle w:val="BodyA"/>
              <w:jc w:val="both"/>
              <w:rPr>
                <w:rFonts w:hAnsi="Times New Roman" w:cs="Times New Roman"/>
                <w:lang w:val="lt-LT"/>
              </w:rPr>
            </w:pPr>
          </w:p>
          <w:p w:rsidR="00F06A46" w:rsidRDefault="00F06A46" w:rsidP="00F06A46">
            <w:pPr>
              <w:contextualSpacing/>
              <w:jc w:val="both"/>
              <w:rPr>
                <w:b/>
                <w:lang w:val="lt-LT"/>
              </w:rPr>
            </w:pPr>
            <w:r>
              <w:rPr>
                <w:b/>
                <w:lang w:val="lt-LT"/>
              </w:rPr>
              <w:t>4</w:t>
            </w:r>
            <w:r w:rsidR="00193BC3" w:rsidRPr="002E12C0">
              <w:rPr>
                <w:b/>
                <w:lang w:val="lt-LT"/>
              </w:rPr>
              <w:t>.</w:t>
            </w:r>
            <w:r w:rsidR="00373BAD" w:rsidRPr="002E12C0">
              <w:rPr>
                <w:b/>
                <w:lang w:val="lt-LT"/>
              </w:rPr>
              <w:t xml:space="preserve"> </w:t>
            </w:r>
            <w:r w:rsidRPr="00F06A46">
              <w:rPr>
                <w:b/>
                <w:lang w:val="lt-LT"/>
              </w:rPr>
              <w:t>Energijos kainos, i</w:t>
            </w:r>
            <w:r>
              <w:rPr>
                <w:b/>
                <w:lang w:val="lt-LT"/>
              </w:rPr>
              <w:t xml:space="preserve">nfliacija ir poveikis </w:t>
            </w:r>
            <w:r w:rsidR="006717E4">
              <w:rPr>
                <w:b/>
                <w:lang w:val="lt-LT"/>
              </w:rPr>
              <w:t xml:space="preserve">ekonomikai </w:t>
            </w:r>
            <w:r w:rsidRPr="00F06A46">
              <w:rPr>
                <w:i/>
                <w:lang w:val="lt-LT"/>
              </w:rPr>
              <w:t>(Pasikeitimas nuomonėmis)</w:t>
            </w:r>
          </w:p>
          <w:p w:rsidR="00103467" w:rsidRDefault="00F06A46" w:rsidP="00103467">
            <w:pPr>
              <w:pStyle w:val="Sraopastraipa"/>
              <w:widowControl w:val="0"/>
              <w:tabs>
                <w:tab w:val="left" w:pos="0"/>
              </w:tabs>
              <w:suppressAutoHyphens/>
              <w:autoSpaceDN w:val="0"/>
              <w:spacing w:after="0" w:line="240" w:lineRule="auto"/>
              <w:ind w:left="0"/>
              <w:jc w:val="both"/>
              <w:textAlignment w:val="baseline"/>
              <w:rPr>
                <w:rFonts w:eastAsia="Times New Roman" w:hAnsi="Times New Roman" w:cs="Times New Roman"/>
                <w:bdr w:val="none" w:sz="0" w:space="0" w:color="auto"/>
                <w:lang w:val="lt-LT" w:eastAsia="lt-LT"/>
              </w:rPr>
            </w:pPr>
            <w:r w:rsidRPr="00103467">
              <w:rPr>
                <w:rFonts w:hAnsi="Times New Roman" w:cs="Times New Roman"/>
                <w:b/>
                <w:u w:val="single"/>
                <w:lang w:val="lt-LT"/>
              </w:rPr>
              <w:t xml:space="preserve">Klausimo esmė: </w:t>
            </w:r>
            <w:r w:rsidR="00103467" w:rsidRPr="00103467">
              <w:rPr>
                <w:rFonts w:hAnsi="Times New Roman" w:cs="Times New Roman"/>
                <w:lang w:val="lt-LT"/>
              </w:rPr>
              <w:t xml:space="preserve">ECOFIN </w:t>
            </w:r>
            <w:r w:rsidR="00103467">
              <w:rPr>
                <w:rFonts w:eastAsia="Times New Roman" w:hAnsi="Times New Roman" w:cs="Times New Roman"/>
                <w:bdr w:val="none" w:sz="0" w:space="0" w:color="auto"/>
                <w:lang w:val="lt-LT" w:eastAsia="lt-LT"/>
              </w:rPr>
              <w:t>metu numatoma diskusija dėl energijos kainų poveikio ekonomikai remiantis EK paskelbtu</w:t>
            </w:r>
            <w:r w:rsidR="00103467" w:rsidRPr="00103467">
              <w:rPr>
                <w:rFonts w:eastAsia="Times New Roman" w:hAnsi="Times New Roman" w:cs="Times New Roman"/>
                <w:bdr w:val="none" w:sz="0" w:space="0" w:color="auto"/>
                <w:lang w:val="lt-LT" w:eastAsia="lt-LT"/>
              </w:rPr>
              <w:t xml:space="preserve"> k</w:t>
            </w:r>
            <w:r w:rsidR="00103467">
              <w:rPr>
                <w:rFonts w:eastAsia="Times New Roman" w:hAnsi="Times New Roman" w:cs="Times New Roman"/>
                <w:bdr w:val="none" w:sz="0" w:space="0" w:color="auto"/>
                <w:lang w:val="lt-LT" w:eastAsia="lt-LT"/>
              </w:rPr>
              <w:t>omunikatu.</w:t>
            </w:r>
            <w:r w:rsidR="00103467" w:rsidRPr="00103467">
              <w:rPr>
                <w:rFonts w:eastAsia="Times New Roman" w:hAnsi="Times New Roman" w:cs="Times New Roman"/>
                <w:bdr w:val="none" w:sz="0" w:space="0" w:color="auto"/>
                <w:lang w:val="lt-LT" w:eastAsia="lt-LT"/>
              </w:rPr>
              <w:t xml:space="preserve"> </w:t>
            </w:r>
            <w:r w:rsidR="00103467">
              <w:rPr>
                <w:rFonts w:eastAsia="Times New Roman" w:hAnsi="Times New Roman" w:cs="Times New Roman"/>
                <w:bdr w:val="none" w:sz="0" w:space="0" w:color="auto"/>
                <w:lang w:val="lt-LT" w:eastAsia="lt-LT"/>
              </w:rPr>
              <w:t xml:space="preserve">EK akcentuoja, kad </w:t>
            </w:r>
            <w:r w:rsidR="00103467" w:rsidRPr="00103467">
              <w:rPr>
                <w:rFonts w:eastAsia="Times New Roman" w:hAnsi="Times New Roman" w:cs="Times New Roman"/>
                <w:bdr w:val="none" w:sz="0" w:space="0" w:color="auto"/>
                <w:lang w:val="lt-LT" w:eastAsia="lt-LT"/>
              </w:rPr>
              <w:t>pigesnis kuras, sumažėjusi paklausa ir sparčiai auganti atsinaujinanti energija 2019 m. lėmė stiprų energijos kainų kritimą, o 2020 m. neigiamos elektros kainos buvo plačiai paplitusios. Ši tendencija greitai apsisuko – didmeninė elektros kaina pakilo 200 proc. per metus. Tai pakėlė mažmenines kainas, bet gerokai mažiau - 9 proc.</w:t>
            </w:r>
            <w:r w:rsidR="00103467">
              <w:rPr>
                <w:rFonts w:eastAsia="Times New Roman" w:hAnsi="Times New Roman" w:cs="Times New Roman"/>
                <w:bdr w:val="none" w:sz="0" w:space="0" w:color="auto"/>
                <w:lang w:val="lt-LT" w:eastAsia="lt-LT"/>
              </w:rPr>
              <w:t xml:space="preserve"> </w:t>
            </w:r>
            <w:r w:rsidR="00103467" w:rsidRPr="00103467">
              <w:rPr>
                <w:rFonts w:eastAsia="Times New Roman" w:hAnsi="Times New Roman" w:cs="Times New Roman"/>
                <w:bdr w:val="none" w:sz="0" w:space="0" w:color="auto"/>
                <w:lang w:val="lt-LT" w:eastAsia="lt-LT"/>
              </w:rPr>
              <w:t>Dabartinis elektros kainų pakilimas yra daugiausia susijęs su globalia paklausa dujoms, jos sudaro apie ketvirtadalį visos ES suvartojamos energijos. Taip pat, prisidėjo ir sezoninės orų sąlygos, buvo išgauta mažiau elektros iš vėjo ir vandens. Nepaisant to, kad kainų augimas paveikė visus, daugiausiai nukentėjo žemų pajamų namų ūkiai. Augančios energijos kainos gali taip pat turėti rimtų pasekmių pramonei ir mažoms bei vidutinėms įmonėms (MVĮ).</w:t>
            </w:r>
          </w:p>
          <w:p w:rsidR="00103467" w:rsidRPr="00103467" w:rsidRDefault="00103467" w:rsidP="00103467">
            <w:pPr>
              <w:pStyle w:val="Sraopastraipa"/>
              <w:widowControl w:val="0"/>
              <w:tabs>
                <w:tab w:val="left" w:pos="0"/>
              </w:tabs>
              <w:suppressAutoHyphens/>
              <w:autoSpaceDN w:val="0"/>
              <w:spacing w:after="0" w:line="240" w:lineRule="auto"/>
              <w:ind w:left="0"/>
              <w:jc w:val="both"/>
              <w:textAlignment w:val="baseline"/>
              <w:rPr>
                <w:rFonts w:eastAsia="Times New Roman" w:hAnsi="Times New Roman" w:cs="Times New Roman"/>
                <w:bdr w:val="none" w:sz="0" w:space="0" w:color="auto"/>
                <w:lang w:val="lt-LT" w:eastAsia="lt-LT"/>
              </w:rPr>
            </w:pPr>
            <w:r>
              <w:rPr>
                <w:rFonts w:eastAsia="Times New Roman" w:hAnsi="Times New Roman" w:cs="Times New Roman"/>
                <w:bdr w:val="none" w:sz="0" w:space="0" w:color="auto"/>
                <w:lang w:val="lt-LT" w:eastAsia="lt-LT"/>
              </w:rPr>
              <w:t>K</w:t>
            </w:r>
            <w:r w:rsidR="00632D15">
              <w:rPr>
                <w:rFonts w:eastAsia="Times New Roman" w:hAnsi="Times New Roman" w:cs="Times New Roman"/>
                <w:bdr w:val="none" w:sz="0" w:space="0" w:color="auto"/>
                <w:lang w:val="lt-LT" w:eastAsia="lt-LT"/>
              </w:rPr>
              <w:t xml:space="preserve">omunikate pateikiami </w:t>
            </w:r>
            <w:r>
              <w:rPr>
                <w:rFonts w:eastAsia="Times New Roman" w:hAnsi="Times New Roman" w:cs="Times New Roman"/>
                <w:bdr w:val="none" w:sz="0" w:space="0" w:color="auto"/>
                <w:lang w:val="lt-LT" w:eastAsia="lt-LT"/>
              </w:rPr>
              <w:t>pasiūlymai dėl trumpojo ir ilgojo laikotarpio priemonių, kurių gali imtis valstybės narės augančių energijos kainų kontekste.</w:t>
            </w:r>
          </w:p>
          <w:p w:rsidR="00F06A46" w:rsidRPr="002E12C0" w:rsidRDefault="00F06A46" w:rsidP="00F06A46">
            <w:pPr>
              <w:contextualSpacing/>
              <w:jc w:val="both"/>
              <w:rPr>
                <w:rFonts w:eastAsia="Calibri"/>
                <w:bdr w:val="none" w:sz="0" w:space="0" w:color="auto"/>
                <w:lang w:val="lt-LT"/>
              </w:rPr>
            </w:pPr>
          </w:p>
          <w:p w:rsidR="00C2568C" w:rsidRPr="00C2568C" w:rsidRDefault="00F06A46" w:rsidP="00C2568C">
            <w:pPr>
              <w:contextualSpacing/>
              <w:jc w:val="both"/>
              <w:rPr>
                <w:rFonts w:eastAsia="Calibri"/>
                <w:bdr w:val="none" w:sz="0" w:space="0" w:color="auto"/>
                <w:lang w:val="lt-LT" w:bidi="lt-LT"/>
              </w:rPr>
            </w:pPr>
            <w:r w:rsidRPr="00C2568C">
              <w:rPr>
                <w:b/>
                <w:u w:val="single"/>
                <w:lang w:val="lt-LT"/>
              </w:rPr>
              <w:t>Lietuvos pozicija:</w:t>
            </w:r>
            <w:r w:rsidRPr="00C2568C">
              <w:rPr>
                <w:lang w:val="lt-LT"/>
              </w:rPr>
              <w:t xml:space="preserve"> </w:t>
            </w:r>
            <w:r w:rsidR="00C2568C">
              <w:rPr>
                <w:rFonts w:eastAsia="Calibri"/>
                <w:bdr w:val="none" w:sz="0" w:space="0" w:color="auto"/>
                <w:lang w:val="lt-LT" w:bidi="lt-LT"/>
              </w:rPr>
              <w:t>P</w:t>
            </w:r>
            <w:r w:rsidR="00C2568C" w:rsidRPr="00C2568C">
              <w:rPr>
                <w:rFonts w:eastAsia="Calibri"/>
                <w:bdr w:val="none" w:sz="0" w:space="0" w:color="auto"/>
                <w:lang w:val="lt-LT" w:bidi="lt-LT"/>
              </w:rPr>
              <w:t>alaiko</w:t>
            </w:r>
            <w:r w:rsidR="00C2568C">
              <w:rPr>
                <w:rFonts w:eastAsia="Calibri"/>
                <w:bdr w:val="none" w:sz="0" w:space="0" w:color="auto"/>
                <w:lang w:val="lt-LT" w:bidi="lt-LT"/>
              </w:rPr>
              <w:t>me</w:t>
            </w:r>
            <w:r w:rsidR="00C2568C" w:rsidRPr="00C2568C">
              <w:rPr>
                <w:rFonts w:eastAsia="Calibri"/>
                <w:bdr w:val="none" w:sz="0" w:space="0" w:color="auto"/>
                <w:lang w:val="lt-LT" w:bidi="lt-LT"/>
              </w:rPr>
              <w:t xml:space="preserve"> </w:t>
            </w:r>
            <w:r w:rsidR="00C2568C">
              <w:rPr>
                <w:rFonts w:eastAsia="Calibri"/>
                <w:bdr w:val="none" w:sz="0" w:space="0" w:color="auto"/>
                <w:lang w:val="lt-LT" w:bidi="lt-LT"/>
              </w:rPr>
              <w:t xml:space="preserve">EK </w:t>
            </w:r>
            <w:r w:rsidR="00C2568C" w:rsidRPr="00C2568C">
              <w:rPr>
                <w:rFonts w:eastAsia="Calibri"/>
                <w:bdr w:val="none" w:sz="0" w:space="0" w:color="auto"/>
                <w:lang w:val="lt-LT" w:bidi="lt-LT"/>
              </w:rPr>
              <w:t>Komunikatą, kuriuo siekiama subalansuotai sumažinti kylančių ka</w:t>
            </w:r>
            <w:r w:rsidR="00C2568C" w:rsidRPr="00C2568C">
              <w:rPr>
                <w:rFonts w:eastAsia="Calibri"/>
                <w:bdr w:val="none" w:sz="0" w:space="0" w:color="auto"/>
                <w:lang w:val="lt-LT" w:bidi="lt-LT"/>
              </w:rPr>
              <w:t>i</w:t>
            </w:r>
            <w:r w:rsidR="00C2568C" w:rsidRPr="00C2568C">
              <w:rPr>
                <w:rFonts w:eastAsia="Calibri"/>
                <w:bdr w:val="none" w:sz="0" w:space="0" w:color="auto"/>
                <w:lang w:val="lt-LT" w:bidi="lt-LT"/>
              </w:rPr>
              <w:t>nų poveikį visuomenei ir verslui kartu išsaugant ES energijos rinkos integralumą. Lietuva, kaip ir da</w:t>
            </w:r>
            <w:r w:rsidR="00C2568C" w:rsidRPr="00C2568C">
              <w:rPr>
                <w:rFonts w:eastAsia="Calibri"/>
                <w:bdr w:val="none" w:sz="0" w:space="0" w:color="auto"/>
                <w:lang w:val="lt-LT" w:bidi="lt-LT"/>
              </w:rPr>
              <w:t>u</w:t>
            </w:r>
            <w:r w:rsidR="00C2568C" w:rsidRPr="00C2568C">
              <w:rPr>
                <w:rFonts w:eastAsia="Calibri"/>
                <w:bdr w:val="none" w:sz="0" w:space="0" w:color="auto"/>
                <w:lang w:val="lt-LT" w:bidi="lt-LT"/>
              </w:rPr>
              <w:t>gelis kitų valstybių narių, ėmėsi operatyvių priemonių nacionaliniu lygiu, kuriomis siekiama sumažinti kainų šoką vartotojams, taip išvengiant neigiamų socialinių pasekmių. Tai yra laikinos priemonės, k</w:t>
            </w:r>
            <w:r w:rsidR="00C2568C" w:rsidRPr="00C2568C">
              <w:rPr>
                <w:rFonts w:eastAsia="Calibri"/>
                <w:bdr w:val="none" w:sz="0" w:space="0" w:color="auto"/>
                <w:lang w:val="lt-LT" w:bidi="lt-LT"/>
              </w:rPr>
              <w:t>u</w:t>
            </w:r>
            <w:r w:rsidR="00C2568C" w:rsidRPr="00C2568C">
              <w:rPr>
                <w:rFonts w:eastAsia="Calibri"/>
                <w:bdr w:val="none" w:sz="0" w:space="0" w:color="auto"/>
                <w:lang w:val="lt-LT" w:bidi="lt-LT"/>
              </w:rPr>
              <w:t>rios padės sušvelninti kainų piko neigiamą poveikį, tačiau svarbu užtikrinti, kad ES turėtų aiškią ilg</w:t>
            </w:r>
            <w:r w:rsidR="00C2568C" w:rsidRPr="00C2568C">
              <w:rPr>
                <w:rFonts w:eastAsia="Calibri"/>
                <w:bdr w:val="none" w:sz="0" w:space="0" w:color="auto"/>
                <w:lang w:val="lt-LT" w:bidi="lt-LT"/>
              </w:rPr>
              <w:t>a</w:t>
            </w:r>
            <w:r w:rsidR="00C2568C" w:rsidRPr="00C2568C">
              <w:rPr>
                <w:rFonts w:eastAsia="Calibri"/>
                <w:bdr w:val="none" w:sz="0" w:space="0" w:color="auto"/>
                <w:lang w:val="lt-LT" w:bidi="lt-LT"/>
              </w:rPr>
              <w:t xml:space="preserve">laikę politiką ir priemones, kurios ateityje padėtų išvengti panašios situacijos, visų pirma, padidintų energijos ir taršos kainų </w:t>
            </w:r>
            <w:proofErr w:type="spellStart"/>
            <w:r w:rsidR="00C2568C" w:rsidRPr="00C2568C">
              <w:rPr>
                <w:rFonts w:eastAsia="Calibri"/>
                <w:bdr w:val="none" w:sz="0" w:space="0" w:color="auto"/>
                <w:lang w:val="lt-LT" w:bidi="lt-LT"/>
              </w:rPr>
              <w:t>nuspėjamumą</w:t>
            </w:r>
            <w:proofErr w:type="spellEnd"/>
            <w:r w:rsidR="00C2568C" w:rsidRPr="00C2568C">
              <w:rPr>
                <w:rFonts w:eastAsia="Calibri"/>
                <w:bdr w:val="none" w:sz="0" w:space="0" w:color="auto"/>
                <w:lang w:val="lt-LT" w:bidi="lt-LT"/>
              </w:rPr>
              <w:t xml:space="preserve"> ir padėtų išvengti didelių kainų sv</w:t>
            </w:r>
            <w:r w:rsidR="00C2568C" w:rsidRPr="00C2568C">
              <w:rPr>
                <w:rFonts w:eastAsia="Calibri"/>
                <w:bdr w:val="none" w:sz="0" w:space="0" w:color="auto"/>
                <w:lang w:val="lt-LT" w:bidi="lt-LT"/>
              </w:rPr>
              <w:t>y</w:t>
            </w:r>
            <w:r w:rsidR="00C2568C" w:rsidRPr="00C2568C">
              <w:rPr>
                <w:rFonts w:eastAsia="Calibri"/>
                <w:bdr w:val="none" w:sz="0" w:space="0" w:color="auto"/>
                <w:lang w:val="lt-LT" w:bidi="lt-LT"/>
              </w:rPr>
              <w:t>ravimų. </w:t>
            </w:r>
          </w:p>
          <w:p w:rsidR="00F06A46" w:rsidRPr="00517C6F" w:rsidRDefault="00C2568C" w:rsidP="00F06A46">
            <w:pPr>
              <w:pStyle w:val="BodyA"/>
              <w:jc w:val="both"/>
              <w:rPr>
                <w:rFonts w:hAnsi="Times New Roman" w:cs="Times New Roman"/>
                <w:lang w:val="lt-LT"/>
              </w:rPr>
            </w:pPr>
            <w:r>
              <w:rPr>
                <w:rFonts w:hAnsi="Times New Roman" w:cs="Times New Roman"/>
                <w:lang w:val="lt-LT"/>
              </w:rPr>
              <w:t>Energijos</w:t>
            </w:r>
            <w:r w:rsidRPr="00C2568C">
              <w:rPr>
                <w:rFonts w:hAnsi="Times New Roman" w:cs="Times New Roman"/>
                <w:lang w:val="lt-LT"/>
              </w:rPr>
              <w:t xml:space="preserve"> kainų suvaldymo</w:t>
            </w:r>
            <w:r>
              <w:rPr>
                <w:rFonts w:hAnsi="Times New Roman" w:cs="Times New Roman"/>
                <w:lang w:val="lt-LT"/>
              </w:rPr>
              <w:t xml:space="preserve"> strategija turėtų remtis šiais pagrindiniais elementais: ES energetinį saug</w:t>
            </w:r>
            <w:r>
              <w:rPr>
                <w:rFonts w:hAnsi="Times New Roman" w:cs="Times New Roman"/>
                <w:lang w:val="lt-LT"/>
              </w:rPr>
              <w:t>u</w:t>
            </w:r>
            <w:r>
              <w:rPr>
                <w:rFonts w:hAnsi="Times New Roman" w:cs="Times New Roman"/>
                <w:lang w:val="lt-LT"/>
              </w:rPr>
              <w:t>mo</w:t>
            </w:r>
            <w:r w:rsidRPr="00C2568C">
              <w:rPr>
                <w:rFonts w:hAnsi="Times New Roman" w:cs="Times New Roman"/>
                <w:lang w:val="lt-LT"/>
              </w:rPr>
              <w:t xml:space="preserve"> </w:t>
            </w:r>
            <w:r>
              <w:rPr>
                <w:rFonts w:hAnsi="Times New Roman" w:cs="Times New Roman"/>
                <w:lang w:val="lt-LT"/>
              </w:rPr>
              <w:t>didinimas</w:t>
            </w:r>
            <w:r w:rsidRPr="00C2568C">
              <w:rPr>
                <w:rFonts w:hAnsi="Times New Roman" w:cs="Times New Roman"/>
                <w:lang w:val="lt-LT"/>
              </w:rPr>
              <w:t xml:space="preserve"> diversifikuojant kuro balansą</w:t>
            </w:r>
            <w:r>
              <w:rPr>
                <w:rFonts w:hAnsi="Times New Roman" w:cs="Times New Roman"/>
                <w:lang w:val="lt-LT"/>
              </w:rPr>
              <w:t xml:space="preserve">; tolesnis </w:t>
            </w:r>
            <w:r w:rsidRPr="00C2568C">
              <w:rPr>
                <w:rFonts w:hAnsi="Times New Roman" w:cs="Times New Roman"/>
                <w:lang w:val="lt-LT"/>
              </w:rPr>
              <w:t>konkurencingos, prognozuojamos ir subalansuotos rinkos veikimo</w:t>
            </w:r>
            <w:r>
              <w:rPr>
                <w:rFonts w:hAnsi="Times New Roman" w:cs="Times New Roman"/>
                <w:lang w:val="lt-LT"/>
              </w:rPr>
              <w:t xml:space="preserve"> siekimas; energetinio skurdo problemos sprendimas.</w:t>
            </w:r>
          </w:p>
          <w:p w:rsidR="00F06A46" w:rsidRDefault="00F06A46" w:rsidP="007327EE">
            <w:pPr>
              <w:contextualSpacing/>
              <w:jc w:val="both"/>
              <w:rPr>
                <w:b/>
                <w:lang w:val="lt-LT"/>
              </w:rPr>
            </w:pPr>
          </w:p>
          <w:p w:rsidR="009852AB" w:rsidRPr="009852AB" w:rsidRDefault="002064C1" w:rsidP="009852AB">
            <w:pPr>
              <w:contextualSpacing/>
              <w:jc w:val="both"/>
              <w:rPr>
                <w:lang w:val="lt-LT"/>
              </w:rPr>
            </w:pPr>
            <w:r>
              <w:rPr>
                <w:b/>
                <w:lang w:val="lt-LT"/>
              </w:rPr>
              <w:t xml:space="preserve">5. </w:t>
            </w:r>
            <w:r w:rsidRPr="002064C1">
              <w:rPr>
                <w:b/>
                <w:lang w:val="lt-LT"/>
              </w:rPr>
              <w:t>Išvados dėl Europos semestro ateities Ekonomikos gaivinimo ir atsparumo didinimo prie</w:t>
            </w:r>
            <w:r>
              <w:rPr>
                <w:b/>
                <w:lang w:val="lt-LT"/>
              </w:rPr>
              <w:t xml:space="preserve">monės kontekste </w:t>
            </w:r>
            <w:r w:rsidRPr="002064C1">
              <w:rPr>
                <w:i/>
                <w:lang w:val="lt-LT"/>
              </w:rPr>
              <w:t>(Patvirtinimas)</w:t>
            </w:r>
            <w:r w:rsidRPr="002064C1">
              <w:rPr>
                <w:b/>
                <w:i/>
                <w:lang w:val="lt-LT"/>
              </w:rPr>
              <w:t xml:space="preserve"> </w:t>
            </w:r>
            <w:r w:rsidR="007F5B19" w:rsidRPr="002E12C0">
              <w:rPr>
                <w:i/>
                <w:lang w:val="lt-LT"/>
              </w:rPr>
              <w:cr/>
            </w:r>
            <w:r w:rsidR="007F5B19" w:rsidRPr="002E12C0">
              <w:rPr>
                <w:b/>
                <w:u w:val="single"/>
                <w:lang w:val="lt-LT"/>
              </w:rPr>
              <w:t xml:space="preserve"> </w:t>
            </w:r>
            <w:r w:rsidR="00193BC3" w:rsidRPr="002E12C0">
              <w:rPr>
                <w:b/>
                <w:u w:val="single"/>
                <w:lang w:val="lt-LT"/>
              </w:rPr>
              <w:t xml:space="preserve">Klausimo esmė: </w:t>
            </w:r>
            <w:r w:rsidR="000344E8" w:rsidRPr="000344E8">
              <w:rPr>
                <w:lang w:val="lt-LT"/>
              </w:rPr>
              <w:t>ECOFIN posėdyje bus tvirtinamos Tarybos išvados dėl Europos Semestro ate</w:t>
            </w:r>
            <w:r w:rsidR="000344E8" w:rsidRPr="000344E8">
              <w:rPr>
                <w:lang w:val="lt-LT"/>
              </w:rPr>
              <w:t>i</w:t>
            </w:r>
            <w:r w:rsidR="000344E8" w:rsidRPr="000344E8">
              <w:rPr>
                <w:lang w:val="lt-LT"/>
              </w:rPr>
              <w:t>ties.</w:t>
            </w:r>
            <w:r w:rsidR="009852AB">
              <w:t xml:space="preserve"> </w:t>
            </w:r>
            <w:r w:rsidR="009852AB" w:rsidRPr="009852AB">
              <w:rPr>
                <w:lang w:val="lt-LT"/>
              </w:rPr>
              <w:t>Pagrindiniai Tarybos išvadų akcentai</w:t>
            </w:r>
            <w:r w:rsidR="009852AB">
              <w:rPr>
                <w:lang w:val="lt-LT"/>
              </w:rPr>
              <w:t>:</w:t>
            </w:r>
          </w:p>
          <w:p w:rsidR="009852AB" w:rsidRPr="009852AB" w:rsidRDefault="009852AB" w:rsidP="009852AB">
            <w:pPr>
              <w:contextualSpacing/>
              <w:jc w:val="both"/>
              <w:rPr>
                <w:lang w:val="lt-LT"/>
              </w:rPr>
            </w:pPr>
            <w:r w:rsidRPr="009852AB">
              <w:rPr>
                <w:lang w:val="lt-LT"/>
              </w:rPr>
              <w:t>Taryba pažymi, kad 2020 m. Europos Semestras buvo pakoreguotas dėl pandemijos - politinės rek</w:t>
            </w:r>
            <w:r w:rsidRPr="009852AB">
              <w:rPr>
                <w:lang w:val="lt-LT"/>
              </w:rPr>
              <w:t>o</w:t>
            </w:r>
            <w:r w:rsidRPr="009852AB">
              <w:rPr>
                <w:lang w:val="lt-LT"/>
              </w:rPr>
              <w:t>mendacijos išliko tik fiskalinėje dalyje, o dėmesys skirtas RRP rengimui, priėmimui ir įg</w:t>
            </w:r>
            <w:r w:rsidRPr="009852AB">
              <w:rPr>
                <w:lang w:val="lt-LT"/>
              </w:rPr>
              <w:t>y</w:t>
            </w:r>
            <w:r>
              <w:rPr>
                <w:lang w:val="lt-LT"/>
              </w:rPr>
              <w:t xml:space="preserve">vendinimui. </w:t>
            </w:r>
            <w:r w:rsidRPr="009852AB">
              <w:rPr>
                <w:lang w:val="lt-LT"/>
              </w:rPr>
              <w:t>Sveikina Semestro pokyčius 2020 ir 2021 m. siekiant padėti kovoti su pandemija ir remti tvarų ekon</w:t>
            </w:r>
            <w:r w:rsidRPr="009852AB">
              <w:rPr>
                <w:lang w:val="lt-LT"/>
              </w:rPr>
              <w:t>o</w:t>
            </w:r>
            <w:r w:rsidRPr="009852AB">
              <w:rPr>
                <w:lang w:val="lt-LT"/>
              </w:rPr>
              <w:t>mikos atsigavimą.</w:t>
            </w:r>
          </w:p>
          <w:p w:rsidR="009852AB" w:rsidRPr="009852AB" w:rsidRDefault="009852AB" w:rsidP="009852AB">
            <w:pPr>
              <w:contextualSpacing/>
              <w:jc w:val="both"/>
              <w:rPr>
                <w:lang w:val="lt-LT"/>
              </w:rPr>
            </w:pPr>
            <w:r w:rsidRPr="009852AB">
              <w:rPr>
                <w:lang w:val="lt-LT"/>
              </w:rPr>
              <w:t>Pabrėžia, kad Semestras ir RRF turi ir toliau tęsti kovą su krize nedubliuojant procesų. Pabrėžia, kad Semestras ir toliau turi užtikrinti visapusišką fiskalinės, finansinės, ekonominės ir užimtumo sričių st</w:t>
            </w:r>
            <w:r w:rsidRPr="009852AB">
              <w:rPr>
                <w:lang w:val="lt-LT"/>
              </w:rPr>
              <w:t>e</w:t>
            </w:r>
            <w:r w:rsidRPr="009852AB">
              <w:rPr>
                <w:lang w:val="lt-LT"/>
              </w:rPr>
              <w:t>bėjimą, ypač atkreipiant dėmesį į skaitmen</w:t>
            </w:r>
            <w:r>
              <w:rPr>
                <w:lang w:val="lt-LT"/>
              </w:rPr>
              <w:t xml:space="preserve">inę ir žaliąją transformacijas. </w:t>
            </w:r>
            <w:r w:rsidRPr="009852AB">
              <w:rPr>
                <w:lang w:val="lt-LT"/>
              </w:rPr>
              <w:t>Kviečia greitai grįžti prie esm</w:t>
            </w:r>
            <w:r w:rsidRPr="009852AB">
              <w:rPr>
                <w:lang w:val="lt-LT"/>
              </w:rPr>
              <w:t>i</w:t>
            </w:r>
            <w:r w:rsidRPr="009852AB">
              <w:rPr>
                <w:lang w:val="lt-LT"/>
              </w:rPr>
              <w:t>nių Semestro elementų 2022 m., ypač šalies ataskaitų ir šalims skirtų rekomendac</w:t>
            </w:r>
            <w:r w:rsidRPr="009852AB">
              <w:rPr>
                <w:lang w:val="lt-LT"/>
              </w:rPr>
              <w:t>i</w:t>
            </w:r>
            <w:r w:rsidRPr="009852AB">
              <w:rPr>
                <w:lang w:val="lt-LT"/>
              </w:rPr>
              <w:t>jų teikimo. Pabrėžia, kad reikia atsižvelgti į vykstantį atsigavimo procesą, su juo susijusį neužtikrintumą ir RRF įgyvendin</w:t>
            </w:r>
            <w:r w:rsidRPr="009852AB">
              <w:rPr>
                <w:lang w:val="lt-LT"/>
              </w:rPr>
              <w:t>i</w:t>
            </w:r>
            <w:r w:rsidRPr="009852AB">
              <w:rPr>
                <w:lang w:val="lt-LT"/>
              </w:rPr>
              <w:t>mą.</w:t>
            </w:r>
          </w:p>
          <w:p w:rsidR="009852AB" w:rsidRPr="009852AB" w:rsidRDefault="009852AB" w:rsidP="009852AB">
            <w:pPr>
              <w:contextualSpacing/>
              <w:jc w:val="both"/>
              <w:rPr>
                <w:lang w:val="lt-LT"/>
              </w:rPr>
            </w:pPr>
            <w:r w:rsidRPr="009852AB">
              <w:rPr>
                <w:lang w:val="lt-LT"/>
              </w:rPr>
              <w:t>Pabrėžia tolesnių šalims skirtų rekomendacijų įgyvendinimo stebėjimo svarbą. Primena, kad struktūr</w:t>
            </w:r>
            <w:r w:rsidRPr="009852AB">
              <w:rPr>
                <w:lang w:val="lt-LT"/>
              </w:rPr>
              <w:t>i</w:t>
            </w:r>
            <w:r w:rsidRPr="009852AB">
              <w:rPr>
                <w:lang w:val="lt-LT"/>
              </w:rPr>
              <w:t>nių rekomendacijų teikimas rečiau nei kas metus, išlaikant kasmetinį ste</w:t>
            </w:r>
            <w:r>
              <w:rPr>
                <w:lang w:val="lt-LT"/>
              </w:rPr>
              <w:t xml:space="preserve">bėjimą, galimai būtų naudingas. </w:t>
            </w:r>
            <w:r w:rsidRPr="009852AB">
              <w:rPr>
                <w:lang w:val="lt-LT"/>
              </w:rPr>
              <w:t xml:space="preserve">Sveikina tęsiamą Makroekonominių </w:t>
            </w:r>
            <w:proofErr w:type="spellStart"/>
            <w:r w:rsidRPr="009852AB">
              <w:rPr>
                <w:lang w:val="lt-LT"/>
              </w:rPr>
              <w:t>disbalansų</w:t>
            </w:r>
            <w:proofErr w:type="spellEnd"/>
            <w:r w:rsidRPr="009852AB">
              <w:rPr>
                <w:lang w:val="lt-LT"/>
              </w:rPr>
              <w:t xml:space="preserve"> procedūros naudojimą ir per pandemiją. Kviečia įd</w:t>
            </w:r>
            <w:r w:rsidRPr="009852AB">
              <w:rPr>
                <w:lang w:val="lt-LT"/>
              </w:rPr>
              <w:t>ė</w:t>
            </w:r>
            <w:r w:rsidRPr="009852AB">
              <w:rPr>
                <w:lang w:val="lt-LT"/>
              </w:rPr>
              <w:t xml:space="preserve">miai stebėti esamų </w:t>
            </w:r>
            <w:proofErr w:type="spellStart"/>
            <w:r w:rsidRPr="009852AB">
              <w:rPr>
                <w:lang w:val="lt-LT"/>
              </w:rPr>
              <w:t>disbalansų</w:t>
            </w:r>
            <w:proofErr w:type="spellEnd"/>
            <w:r w:rsidRPr="009852AB">
              <w:rPr>
                <w:lang w:val="lt-LT"/>
              </w:rPr>
              <w:t xml:space="preserve"> evoliuciją ir išlikti budriems naujų </w:t>
            </w:r>
            <w:proofErr w:type="spellStart"/>
            <w:r w:rsidRPr="009852AB">
              <w:rPr>
                <w:lang w:val="lt-LT"/>
              </w:rPr>
              <w:t>disbalansų</w:t>
            </w:r>
            <w:proofErr w:type="spellEnd"/>
            <w:r w:rsidRPr="009852AB">
              <w:rPr>
                <w:lang w:val="lt-LT"/>
              </w:rPr>
              <w:t xml:space="preserve"> atsiradimui. </w:t>
            </w:r>
          </w:p>
          <w:p w:rsidR="00193BC3" w:rsidRPr="00517C6F" w:rsidRDefault="00193BC3" w:rsidP="007327EE">
            <w:pPr>
              <w:pStyle w:val="BodyA"/>
              <w:jc w:val="both"/>
              <w:rPr>
                <w:rFonts w:hAnsi="Times New Roman" w:cs="Times New Roman"/>
                <w:lang w:val="lt-LT"/>
              </w:rPr>
            </w:pPr>
            <w:r w:rsidRPr="009F3E8B">
              <w:rPr>
                <w:rFonts w:hAnsi="Times New Roman" w:cs="Times New Roman"/>
                <w:b/>
                <w:u w:val="single"/>
                <w:lang w:val="lt-LT"/>
              </w:rPr>
              <w:t>Lietuvos pozicija:</w:t>
            </w:r>
            <w:r w:rsidR="00A65258" w:rsidRPr="00517C6F">
              <w:rPr>
                <w:rFonts w:hAnsi="Times New Roman" w:cs="Times New Roman"/>
                <w:lang w:val="lt-LT"/>
              </w:rPr>
              <w:t xml:space="preserve"> </w:t>
            </w:r>
            <w:r w:rsidR="000344E8" w:rsidRPr="000344E8">
              <w:rPr>
                <w:rFonts w:hAnsi="Times New Roman" w:cs="Times New Roman"/>
                <w:lang w:val="lt-LT"/>
              </w:rPr>
              <w:t>Pritariame kompromisiniam Tarybos išvadų projektui.</w:t>
            </w:r>
          </w:p>
          <w:p w:rsidR="0098163A" w:rsidRDefault="0098163A" w:rsidP="009C6662">
            <w:pPr>
              <w:pStyle w:val="BodyA"/>
              <w:jc w:val="both"/>
              <w:rPr>
                <w:rFonts w:hAnsi="Times New Roman" w:cs="Times New Roman"/>
                <w:lang w:val="lt-LT"/>
              </w:rPr>
            </w:pPr>
          </w:p>
          <w:p w:rsidR="00373BAD" w:rsidRPr="00373BAD" w:rsidRDefault="00F23079" w:rsidP="00D961D3">
            <w:pPr>
              <w:pStyle w:val="BodyA"/>
              <w:jc w:val="both"/>
              <w:rPr>
                <w:rFonts w:hAnsi="Times New Roman" w:cs="Times New Roman"/>
                <w:b/>
                <w:lang w:val="lt-LT"/>
              </w:rPr>
            </w:pPr>
            <w:r>
              <w:rPr>
                <w:rFonts w:hAnsi="Times New Roman" w:cs="Times New Roman"/>
                <w:b/>
                <w:lang w:val="lt-LT"/>
              </w:rPr>
              <w:t>6</w:t>
            </w:r>
            <w:r w:rsidR="009E659A">
              <w:rPr>
                <w:rFonts w:hAnsi="Times New Roman" w:cs="Times New Roman"/>
                <w:b/>
                <w:lang w:val="lt-LT"/>
              </w:rPr>
              <w:t xml:space="preserve">. </w:t>
            </w:r>
            <w:r w:rsidR="00D961D3" w:rsidRPr="00D961D3">
              <w:rPr>
                <w:rFonts w:hAnsi="Times New Roman" w:cs="Times New Roman"/>
                <w:b/>
                <w:lang w:val="lt-LT"/>
              </w:rPr>
              <w:t>Tolesnė veikla, susijusi su G20 finansų ministrų ir centrinių bankų valdytojų susitikimu ir TVF metiniais susitikimais (20</w:t>
            </w:r>
            <w:r w:rsidR="00D961D3">
              <w:rPr>
                <w:rFonts w:hAnsi="Times New Roman" w:cs="Times New Roman"/>
                <w:b/>
                <w:lang w:val="lt-LT"/>
              </w:rPr>
              <w:t xml:space="preserve">21 m. spalio 13–14 d.) </w:t>
            </w:r>
            <w:r w:rsidR="00D961D3" w:rsidRPr="00D961D3">
              <w:rPr>
                <w:rFonts w:hAnsi="Times New Roman" w:cs="Times New Roman"/>
                <w:i/>
                <w:lang w:val="lt-LT"/>
              </w:rPr>
              <w:t>(Pirmininkaujančios valstybės narės ir Komisijos informacija)</w:t>
            </w:r>
            <w:r w:rsidR="00D961D3" w:rsidRPr="00D961D3">
              <w:rPr>
                <w:rFonts w:hAnsi="Times New Roman" w:cs="Times New Roman"/>
                <w:b/>
                <w:lang w:val="lt-LT"/>
              </w:rPr>
              <w:t xml:space="preserve"> </w:t>
            </w:r>
          </w:p>
          <w:p w:rsidR="00E03B47" w:rsidRPr="00E03B47" w:rsidRDefault="00FD429F" w:rsidP="00E03B47">
            <w:pPr>
              <w:contextualSpacing/>
              <w:jc w:val="both"/>
              <w:rPr>
                <w:b/>
                <w:u w:val="single"/>
                <w:lang w:val="lt-LT"/>
              </w:rPr>
            </w:pPr>
            <w:r w:rsidRPr="002A0B19">
              <w:rPr>
                <w:b/>
                <w:u w:val="single"/>
                <w:lang w:val="lt-LT"/>
              </w:rPr>
              <w:t xml:space="preserve">Klausimo esmė. </w:t>
            </w:r>
            <w:r w:rsidR="00E03B47" w:rsidRPr="00E03B47">
              <w:rPr>
                <w:lang w:val="lt-LT"/>
              </w:rPr>
              <w:t xml:space="preserve">Pirmininkaujanti šalis ir </w:t>
            </w:r>
            <w:r w:rsidR="006717E4">
              <w:rPr>
                <w:lang w:val="lt-LT"/>
              </w:rPr>
              <w:t>EK</w:t>
            </w:r>
            <w:r w:rsidR="006717E4" w:rsidRPr="00E03B47">
              <w:rPr>
                <w:lang w:val="lt-LT"/>
              </w:rPr>
              <w:t xml:space="preserve"> </w:t>
            </w:r>
            <w:r w:rsidR="00E03B47" w:rsidRPr="00E03B47">
              <w:rPr>
                <w:lang w:val="lt-LT"/>
              </w:rPr>
              <w:t>pristatys informaciją apie G20 finansų ministrų ir centr</w:t>
            </w:r>
            <w:r w:rsidR="00E03B47" w:rsidRPr="00E03B47">
              <w:rPr>
                <w:lang w:val="lt-LT"/>
              </w:rPr>
              <w:t>i</w:t>
            </w:r>
            <w:r w:rsidR="00E03B47" w:rsidRPr="00E03B47">
              <w:rPr>
                <w:lang w:val="lt-LT"/>
              </w:rPr>
              <w:t>nių bankų valdytojų susitikimą, ir TVF metinius susitikimus, vykusius 2021 m. spalio mėn.</w:t>
            </w:r>
            <w:r w:rsidR="00E03B47" w:rsidRPr="00E03B47">
              <w:rPr>
                <w:b/>
                <w:lang w:val="lt-LT"/>
              </w:rPr>
              <w:t xml:space="preserve"> </w:t>
            </w:r>
            <w:r w:rsidR="00E03B47" w:rsidRPr="00E03B47">
              <w:rPr>
                <w:lang w:val="lt-LT"/>
              </w:rPr>
              <w:t xml:space="preserve">G20 finansų </w:t>
            </w:r>
            <w:r w:rsidR="00E03B47" w:rsidRPr="00E03B47">
              <w:rPr>
                <w:lang w:val="lt-LT"/>
              </w:rPr>
              <w:lastRenderedPageBreak/>
              <w:t>ministrų ir centrinių bankų valdytojų susitikimo metu buvo aptarta pasaulio ekonomikos situacija ir a</w:t>
            </w:r>
            <w:r w:rsidR="00E03B47" w:rsidRPr="00E03B47">
              <w:rPr>
                <w:lang w:val="lt-LT"/>
              </w:rPr>
              <w:t>t</w:t>
            </w:r>
            <w:r w:rsidR="00E03B47" w:rsidRPr="00E03B47">
              <w:rPr>
                <w:lang w:val="lt-LT"/>
              </w:rPr>
              <w:t>sigavimo tempai, pažanga pandemijos prevencijos, pasirengimo ir reagavimo srityje, tarptautinio apm</w:t>
            </w:r>
            <w:r w:rsidR="00E03B47" w:rsidRPr="00E03B47">
              <w:rPr>
                <w:lang w:val="lt-LT"/>
              </w:rPr>
              <w:t>o</w:t>
            </w:r>
            <w:r w:rsidR="00E03B47" w:rsidRPr="00E03B47">
              <w:rPr>
                <w:lang w:val="lt-LT"/>
              </w:rPr>
              <w:t>kestinimo klausimai, pastangos kovojant su klimato kaita ir skatinant perėjimą prie žalios, įtraukios ir atsparios ekonomikos. Taip pat patvirtintas G20 tvaraus finansavimo veiksmų planas, teigiamai įverti</w:t>
            </w:r>
            <w:r w:rsidR="00E03B47" w:rsidRPr="00E03B47">
              <w:rPr>
                <w:lang w:val="lt-LT"/>
              </w:rPr>
              <w:t>n</w:t>
            </w:r>
            <w:r w:rsidR="00E03B47" w:rsidRPr="00E03B47">
              <w:rPr>
                <w:lang w:val="lt-LT"/>
              </w:rPr>
              <w:t xml:space="preserve">tos TVF pastangos paskirstant šalims narėms Specialiąsias skolinimo teises (angl. </w:t>
            </w:r>
            <w:proofErr w:type="spellStart"/>
            <w:r w:rsidR="00E03B47" w:rsidRPr="00477DE6">
              <w:rPr>
                <w:i/>
                <w:lang w:val="lt-LT"/>
              </w:rPr>
              <w:t>Special</w:t>
            </w:r>
            <w:proofErr w:type="spellEnd"/>
            <w:r w:rsidR="00E03B47" w:rsidRPr="00477DE6">
              <w:rPr>
                <w:i/>
                <w:lang w:val="lt-LT"/>
              </w:rPr>
              <w:t xml:space="preserve"> </w:t>
            </w:r>
            <w:proofErr w:type="spellStart"/>
            <w:r w:rsidR="00E03B47" w:rsidRPr="00477DE6">
              <w:rPr>
                <w:i/>
                <w:lang w:val="lt-LT"/>
              </w:rPr>
              <w:t>drawing</w:t>
            </w:r>
            <w:proofErr w:type="spellEnd"/>
            <w:r w:rsidR="00E03B47" w:rsidRPr="00477DE6">
              <w:rPr>
                <w:i/>
                <w:lang w:val="lt-LT"/>
              </w:rPr>
              <w:t xml:space="preserve"> </w:t>
            </w:r>
            <w:proofErr w:type="spellStart"/>
            <w:r w:rsidR="00E03B47" w:rsidRPr="00477DE6">
              <w:rPr>
                <w:i/>
                <w:lang w:val="lt-LT"/>
              </w:rPr>
              <w:t>rights</w:t>
            </w:r>
            <w:proofErr w:type="spellEnd"/>
            <w:r w:rsidR="00E03B47" w:rsidRPr="00E03B47">
              <w:rPr>
                <w:lang w:val="lt-LT"/>
              </w:rPr>
              <w:t>, SDR) ir kuriant instrumentus, kuriais finansiškai stipresnės šalys galėtų savanoriškai nukreipti SDR labiausiai pažeidžiamoms šalims, įvertinta pažanga kuriant Bendrąją skolų valdymo sistemą, t</w:t>
            </w:r>
            <w:r w:rsidR="00E03B47" w:rsidRPr="00E03B47">
              <w:rPr>
                <w:lang w:val="lt-LT"/>
              </w:rPr>
              <w:t>o</w:t>
            </w:r>
            <w:r w:rsidR="00E03B47" w:rsidRPr="00E03B47">
              <w:rPr>
                <w:lang w:val="lt-LT"/>
              </w:rPr>
              <w:t>liau įsipareigota įgyvendinti G20 veiksmų pl</w:t>
            </w:r>
            <w:r w:rsidR="00E03B47" w:rsidRPr="00E03B47">
              <w:rPr>
                <w:lang w:val="lt-LT"/>
              </w:rPr>
              <w:t>a</w:t>
            </w:r>
            <w:r w:rsidR="00E03B47" w:rsidRPr="00E03B47">
              <w:rPr>
                <w:lang w:val="lt-LT"/>
              </w:rPr>
              <w:t>ną.</w:t>
            </w:r>
          </w:p>
          <w:p w:rsidR="00E03B47" w:rsidRPr="00E03B47" w:rsidRDefault="00E03B47" w:rsidP="00E03B47">
            <w:pPr>
              <w:tabs>
                <w:tab w:val="left" w:pos="34"/>
              </w:tabs>
              <w:contextualSpacing/>
              <w:jc w:val="both"/>
              <w:rPr>
                <w:lang w:val="lt-LT"/>
              </w:rPr>
            </w:pPr>
            <w:r w:rsidRPr="00E03B47">
              <w:rPr>
                <w:lang w:val="lt-LT"/>
              </w:rPr>
              <w:tab/>
              <w:t>TVF metinių susitikimų metu aptarta globali ekonomikos situacija, išreikštas siekis iki 2021 m. paba</w:t>
            </w:r>
            <w:r w:rsidRPr="00E03B47">
              <w:rPr>
                <w:lang w:val="lt-LT"/>
              </w:rPr>
              <w:t>i</w:t>
            </w:r>
            <w:r w:rsidRPr="00E03B47">
              <w:rPr>
                <w:lang w:val="lt-LT"/>
              </w:rPr>
              <w:t>gos paskiepyti 40 proc., o iki 2022 m. vidurio – 70 proc. visų pasaulio gyventojų, išreikšta būtinybė spartinti pertvarkos reformas ir kovoti su klimato kaita, remiamos TVF pastangos kovojant su pandem</w:t>
            </w:r>
            <w:r w:rsidRPr="00E03B47">
              <w:rPr>
                <w:lang w:val="lt-LT"/>
              </w:rPr>
              <w:t>i</w:t>
            </w:r>
            <w:r w:rsidRPr="00E03B47">
              <w:rPr>
                <w:lang w:val="lt-LT"/>
              </w:rPr>
              <w:t>jos sukeltais padariniais, sveikinamas istorinis SDR paskirstymas ir kuriami ins</w:t>
            </w:r>
            <w:r w:rsidRPr="00E03B47">
              <w:rPr>
                <w:lang w:val="lt-LT"/>
              </w:rPr>
              <w:t>t</w:t>
            </w:r>
            <w:r w:rsidRPr="00E03B47">
              <w:rPr>
                <w:lang w:val="lt-LT"/>
              </w:rPr>
              <w:t xml:space="preserve">rumentai, kuriais SDR savanoriškai galėtų būti nukreipiami </w:t>
            </w:r>
            <w:proofErr w:type="spellStart"/>
            <w:r w:rsidRPr="00E03B47">
              <w:rPr>
                <w:lang w:val="lt-LT"/>
              </w:rPr>
              <w:t>pažeidžiamiausioms</w:t>
            </w:r>
            <w:proofErr w:type="spellEnd"/>
            <w:r w:rsidRPr="00E03B47">
              <w:rPr>
                <w:lang w:val="lt-LT"/>
              </w:rPr>
              <w:t xml:space="preserve"> šalims.</w:t>
            </w:r>
          </w:p>
          <w:p w:rsidR="004D0CA6" w:rsidRPr="002A0B19" w:rsidRDefault="004D0CA6" w:rsidP="007327EE">
            <w:pPr>
              <w:contextualSpacing/>
              <w:jc w:val="both"/>
              <w:rPr>
                <w:rFonts w:eastAsia="Calibri"/>
                <w:bdr w:val="none" w:sz="0" w:space="0" w:color="auto"/>
                <w:lang w:val="lt-LT"/>
              </w:rPr>
            </w:pPr>
          </w:p>
          <w:p w:rsidR="004D0CA6" w:rsidRDefault="004D0CA6" w:rsidP="00FD429F">
            <w:pPr>
              <w:pStyle w:val="BodyA"/>
              <w:jc w:val="both"/>
              <w:rPr>
                <w:rFonts w:hAnsi="Times New Roman" w:cs="Times New Roman"/>
                <w:lang w:val="lt-LT"/>
              </w:rPr>
            </w:pPr>
            <w:r w:rsidRPr="004D0CA6">
              <w:rPr>
                <w:rFonts w:hAnsi="Times New Roman" w:cs="Times New Roman"/>
                <w:b/>
                <w:u w:val="single"/>
                <w:lang w:val="lt-LT"/>
              </w:rPr>
              <w:t>Lietuvos pozicija</w:t>
            </w:r>
            <w:r w:rsidRPr="002A0B19">
              <w:rPr>
                <w:rFonts w:hAnsi="Times New Roman" w:cs="Times New Roman"/>
                <w:b/>
                <w:u w:val="single"/>
                <w:lang w:val="lt-LT"/>
              </w:rPr>
              <w:t>.</w:t>
            </w:r>
            <w:r w:rsidRPr="002A0B19">
              <w:rPr>
                <w:rFonts w:hAnsi="Times New Roman" w:cs="Times New Roman"/>
              </w:rPr>
              <w:t xml:space="preserve"> </w:t>
            </w:r>
            <w:proofErr w:type="spellStart"/>
            <w:r w:rsidR="00477DE6">
              <w:rPr>
                <w:rFonts w:hAnsi="Times New Roman" w:cs="Times New Roman"/>
              </w:rPr>
              <w:t>I</w:t>
            </w:r>
            <w:r w:rsidR="00477DE6" w:rsidRPr="00477DE6">
              <w:rPr>
                <w:rFonts w:hAnsi="Times New Roman" w:cs="Times New Roman"/>
              </w:rPr>
              <w:t>šklausyti</w:t>
            </w:r>
            <w:proofErr w:type="spellEnd"/>
            <w:r w:rsidR="00477DE6" w:rsidRPr="00477DE6">
              <w:rPr>
                <w:rFonts w:hAnsi="Times New Roman" w:cs="Times New Roman"/>
              </w:rPr>
              <w:t xml:space="preserve"> </w:t>
            </w:r>
            <w:proofErr w:type="spellStart"/>
            <w:r w:rsidR="00477DE6" w:rsidRPr="00477DE6">
              <w:rPr>
                <w:rFonts w:hAnsi="Times New Roman" w:cs="Times New Roman"/>
              </w:rPr>
              <w:t>informaciją</w:t>
            </w:r>
            <w:proofErr w:type="spellEnd"/>
          </w:p>
          <w:p w:rsidR="008D674A" w:rsidRPr="00FD429F" w:rsidRDefault="008D674A" w:rsidP="00FD429F">
            <w:pPr>
              <w:pStyle w:val="BodyA"/>
              <w:jc w:val="both"/>
              <w:rPr>
                <w:rFonts w:hAnsi="Times New Roman" w:cs="Times New Roman"/>
                <w:b/>
                <w:u w:val="single"/>
                <w:lang w:val="lt-LT"/>
              </w:rPr>
            </w:pPr>
          </w:p>
          <w:p w:rsidR="0098163A" w:rsidRPr="007327EE" w:rsidRDefault="00F23079" w:rsidP="007F5B19">
            <w:pPr>
              <w:pStyle w:val="BodyA"/>
              <w:jc w:val="both"/>
              <w:rPr>
                <w:rFonts w:hAnsi="Times New Roman" w:cs="Times New Roman"/>
                <w:b/>
                <w:lang w:val="lt-LT"/>
              </w:rPr>
            </w:pPr>
            <w:r>
              <w:rPr>
                <w:rFonts w:hAnsi="Times New Roman" w:cs="Times New Roman"/>
                <w:b/>
                <w:lang w:val="lt-LT"/>
              </w:rPr>
              <w:t>7</w:t>
            </w:r>
            <w:r w:rsidR="001E5D73" w:rsidRPr="00DF5114">
              <w:rPr>
                <w:rFonts w:hAnsi="Times New Roman" w:cs="Times New Roman"/>
                <w:b/>
                <w:lang w:val="lt-LT"/>
              </w:rPr>
              <w:t>.</w:t>
            </w:r>
            <w:r w:rsidR="00E91FEC" w:rsidRPr="00DF5114">
              <w:rPr>
                <w:rFonts w:hAnsi="Times New Roman" w:cs="Times New Roman"/>
                <w:b/>
                <w:lang w:val="lt-LT"/>
              </w:rPr>
              <w:t xml:space="preserve"> </w:t>
            </w:r>
            <w:r w:rsidR="00477DE6" w:rsidRPr="00477DE6">
              <w:rPr>
                <w:rFonts w:hAnsi="Times New Roman" w:cs="Times New Roman"/>
                <w:b/>
                <w:lang w:val="lt-LT"/>
              </w:rPr>
              <w:t>Išvados dėl ES statistikos</w:t>
            </w:r>
            <w:r w:rsidR="00477DE6">
              <w:rPr>
                <w:rFonts w:hAnsi="Times New Roman" w:cs="Times New Roman"/>
                <w:lang w:val="lt-LT"/>
              </w:rPr>
              <w:t xml:space="preserve"> (</w:t>
            </w:r>
            <w:r w:rsidR="00477DE6" w:rsidRPr="00477DE6">
              <w:rPr>
                <w:rFonts w:hAnsi="Times New Roman" w:cs="Times New Roman"/>
                <w:i/>
                <w:lang w:val="lt-LT"/>
              </w:rPr>
              <w:t>Patvirtinimas</w:t>
            </w:r>
            <w:r w:rsidR="00477DE6">
              <w:rPr>
                <w:rFonts w:hAnsi="Times New Roman" w:cs="Times New Roman"/>
                <w:lang w:val="lt-LT"/>
              </w:rPr>
              <w:t>)</w:t>
            </w:r>
          </w:p>
          <w:p w:rsidR="00046AE0" w:rsidRPr="00046AE0" w:rsidRDefault="0098163A" w:rsidP="00046AE0">
            <w:pPr>
              <w:pStyle w:val="BodyA"/>
              <w:jc w:val="both"/>
              <w:rPr>
                <w:rFonts w:hAnsi="Times New Roman" w:cs="Times New Roman"/>
                <w:lang w:val="lt-LT"/>
              </w:rPr>
            </w:pPr>
            <w:r w:rsidRPr="00DF5114">
              <w:rPr>
                <w:rFonts w:hAnsi="Times New Roman" w:cs="Times New Roman"/>
                <w:b/>
                <w:u w:val="single"/>
                <w:lang w:val="lt-LT"/>
              </w:rPr>
              <w:t>Klausimo esmė.</w:t>
            </w:r>
            <w:r w:rsidRPr="00DF5114">
              <w:rPr>
                <w:rFonts w:hAnsi="Times New Roman" w:cs="Times New Roman"/>
                <w:lang w:val="lt-LT"/>
              </w:rPr>
              <w:t xml:space="preserve"> </w:t>
            </w:r>
            <w:r w:rsidR="00046AE0">
              <w:rPr>
                <w:rFonts w:hAnsi="Times New Roman" w:cs="Times New Roman"/>
                <w:lang w:val="lt-LT"/>
              </w:rPr>
              <w:t>Tarybos išvadų projekte</w:t>
            </w:r>
            <w:r w:rsidR="00046AE0" w:rsidRPr="00046AE0">
              <w:rPr>
                <w:rFonts w:hAnsi="Times New Roman" w:cs="Times New Roman"/>
                <w:lang w:val="lt-LT"/>
              </w:rPr>
              <w:t xml:space="preserve"> palankiai vertinamas greitas Europos statistikos ir E</w:t>
            </w:r>
            <w:r w:rsidR="00046AE0" w:rsidRPr="00046AE0">
              <w:rPr>
                <w:rFonts w:hAnsi="Times New Roman" w:cs="Times New Roman"/>
                <w:lang w:val="lt-LT"/>
              </w:rPr>
              <w:t>u</w:t>
            </w:r>
            <w:r w:rsidR="00046AE0" w:rsidRPr="00046AE0">
              <w:rPr>
                <w:rFonts w:hAnsi="Times New Roman" w:cs="Times New Roman"/>
                <w:lang w:val="lt-LT"/>
              </w:rPr>
              <w:t xml:space="preserve">ropos Centrinių Bankų sistemų atsakas į COVID-19 pandemiją, rengiant oficialiąją statistiką ir užtikrinant  jos sklaidą nustatytais terminais; taip pat Europos statistikos atsigavimo švieslentė, kurioje publikuojami ekonominės ir visuomenės atsigavimo </w:t>
            </w:r>
            <w:proofErr w:type="spellStart"/>
            <w:r w:rsidR="00046AE0" w:rsidRPr="00046AE0">
              <w:rPr>
                <w:rFonts w:hAnsi="Times New Roman" w:cs="Times New Roman"/>
                <w:lang w:val="lt-LT"/>
              </w:rPr>
              <w:t>stebėsenai</w:t>
            </w:r>
            <w:proofErr w:type="spellEnd"/>
            <w:r w:rsidR="00046AE0" w:rsidRPr="00046AE0">
              <w:rPr>
                <w:rFonts w:hAnsi="Times New Roman" w:cs="Times New Roman"/>
                <w:lang w:val="lt-LT"/>
              </w:rPr>
              <w:t xml:space="preserve"> reikalingi mėnesiniai st</w:t>
            </w:r>
            <w:r w:rsidR="00046AE0" w:rsidRPr="00046AE0">
              <w:rPr>
                <w:rFonts w:hAnsi="Times New Roman" w:cs="Times New Roman"/>
                <w:lang w:val="lt-LT"/>
              </w:rPr>
              <w:t>a</w:t>
            </w:r>
            <w:r w:rsidR="00046AE0" w:rsidRPr="00046AE0">
              <w:rPr>
                <w:rFonts w:hAnsi="Times New Roman" w:cs="Times New Roman"/>
                <w:lang w:val="lt-LT"/>
              </w:rPr>
              <w:t xml:space="preserve">tistiniai rodikliai. </w:t>
            </w:r>
          </w:p>
          <w:p w:rsidR="00046AE0" w:rsidRPr="00046AE0" w:rsidRDefault="00046AE0" w:rsidP="00046AE0">
            <w:pPr>
              <w:pStyle w:val="BodyA"/>
              <w:jc w:val="both"/>
              <w:rPr>
                <w:rFonts w:hAnsi="Times New Roman" w:cs="Times New Roman"/>
                <w:lang w:val="lt-LT"/>
              </w:rPr>
            </w:pPr>
            <w:r w:rsidRPr="00046AE0">
              <w:rPr>
                <w:rFonts w:hAnsi="Times New Roman" w:cs="Times New Roman"/>
                <w:lang w:val="lt-LT"/>
              </w:rPr>
              <w:t>Pažymima, kad Europos statistikos sistema (ESS), reaguodama į pandemijos metu kilusius vart</w:t>
            </w:r>
            <w:r w:rsidRPr="00046AE0">
              <w:rPr>
                <w:rFonts w:hAnsi="Times New Roman" w:cs="Times New Roman"/>
                <w:lang w:val="lt-LT"/>
              </w:rPr>
              <w:t>o</w:t>
            </w:r>
            <w:r w:rsidRPr="00046AE0">
              <w:rPr>
                <w:rFonts w:hAnsi="Times New Roman" w:cs="Times New Roman"/>
                <w:lang w:val="lt-LT"/>
              </w:rPr>
              <w:t xml:space="preserve">tojų poreikius, tęsia aktualios operatyvios  eksperimentinės statistikos plėtrą. Skatinamas naujų duomenų šaltinių ir technologijų, </w:t>
            </w:r>
            <w:proofErr w:type="spellStart"/>
            <w:r w:rsidRPr="00046AE0">
              <w:rPr>
                <w:rFonts w:hAnsi="Times New Roman" w:cs="Times New Roman"/>
                <w:lang w:val="lt-LT"/>
              </w:rPr>
              <w:t>inovatyvių</w:t>
            </w:r>
            <w:proofErr w:type="spellEnd"/>
            <w:r w:rsidRPr="00046AE0">
              <w:rPr>
                <w:rFonts w:hAnsi="Times New Roman" w:cs="Times New Roman"/>
                <w:lang w:val="lt-LT"/>
              </w:rPr>
              <w:t xml:space="preserve"> metodų panaudojimas.</w:t>
            </w:r>
          </w:p>
          <w:p w:rsidR="00046AE0" w:rsidRPr="00046AE0" w:rsidRDefault="00046AE0" w:rsidP="00046AE0">
            <w:pPr>
              <w:pStyle w:val="BodyA"/>
              <w:jc w:val="both"/>
              <w:rPr>
                <w:rFonts w:hAnsi="Times New Roman" w:cs="Times New Roman"/>
                <w:lang w:val="lt-LT"/>
              </w:rPr>
            </w:pPr>
            <w:r w:rsidRPr="00046AE0">
              <w:rPr>
                <w:rFonts w:hAnsi="Times New Roman" w:cs="Times New Roman"/>
                <w:lang w:val="lt-LT"/>
              </w:rPr>
              <w:t>Išvadose pabrėžiama būtinybė Europos ir nacionaliniu lygmenimis užtikrinti adekvačius žmogi</w:t>
            </w:r>
            <w:r w:rsidRPr="00046AE0">
              <w:rPr>
                <w:rFonts w:hAnsi="Times New Roman" w:cs="Times New Roman"/>
                <w:lang w:val="lt-LT"/>
              </w:rPr>
              <w:t>š</w:t>
            </w:r>
            <w:r w:rsidRPr="00046AE0">
              <w:rPr>
                <w:rFonts w:hAnsi="Times New Roman" w:cs="Times New Roman"/>
                <w:lang w:val="lt-LT"/>
              </w:rPr>
              <w:t>kuosius ir finansinius išteklius, reikalingus  naujų duomenų šaltinių ir technologijų panaudojimui, rengiant akt</w:t>
            </w:r>
            <w:r w:rsidRPr="00046AE0">
              <w:rPr>
                <w:rFonts w:hAnsi="Times New Roman" w:cs="Times New Roman"/>
                <w:lang w:val="lt-LT"/>
              </w:rPr>
              <w:t>u</w:t>
            </w:r>
            <w:r w:rsidRPr="00046AE0">
              <w:rPr>
                <w:rFonts w:hAnsi="Times New Roman" w:cs="Times New Roman"/>
                <w:lang w:val="lt-LT"/>
              </w:rPr>
              <w:t>alią ir reikiamo detalumo statistiką, atspindinčią skaitmeninius, aplin</w:t>
            </w:r>
            <w:r>
              <w:rPr>
                <w:rFonts w:hAnsi="Times New Roman" w:cs="Times New Roman"/>
                <w:lang w:val="lt-LT"/>
              </w:rPr>
              <w:t xml:space="preserve">kos ir klimato kaitos pokyčius. </w:t>
            </w:r>
            <w:r w:rsidRPr="00046AE0">
              <w:rPr>
                <w:rFonts w:hAnsi="Times New Roman" w:cs="Times New Roman"/>
                <w:lang w:val="lt-LT"/>
              </w:rPr>
              <w:t>A</w:t>
            </w:r>
            <w:r w:rsidRPr="00046AE0">
              <w:rPr>
                <w:rFonts w:hAnsi="Times New Roman" w:cs="Times New Roman"/>
                <w:lang w:val="lt-LT"/>
              </w:rPr>
              <w:t>t</w:t>
            </w:r>
            <w:r w:rsidRPr="00046AE0">
              <w:rPr>
                <w:rFonts w:hAnsi="Times New Roman" w:cs="Times New Roman"/>
                <w:lang w:val="lt-LT"/>
              </w:rPr>
              <w:t>kreipiamas dėmesys į ESS poziciją dėl pasiūlymo dėl duomenų valdymo akto, kuris, tikimasi, sukurs nuolatinę ir teisiškai suformuotą prieigą prie privačių duomenų oficialiajai statistikai rengti.</w:t>
            </w:r>
          </w:p>
          <w:p w:rsidR="00046AE0" w:rsidRPr="00046AE0" w:rsidRDefault="00046AE0" w:rsidP="00046AE0">
            <w:pPr>
              <w:pStyle w:val="BodyA"/>
              <w:jc w:val="both"/>
              <w:rPr>
                <w:rFonts w:hAnsi="Times New Roman" w:cs="Times New Roman"/>
                <w:lang w:val="lt-LT"/>
              </w:rPr>
            </w:pPr>
            <w:r w:rsidRPr="00046AE0">
              <w:rPr>
                <w:rFonts w:hAnsi="Times New Roman" w:cs="Times New Roman"/>
                <w:lang w:val="lt-LT"/>
              </w:rPr>
              <w:t>Pripažįstama pažanga rengiant statistinius rodiklius, reikalingus Darnaus vystymosi tikslų įgyvendin</w:t>
            </w:r>
            <w:r w:rsidRPr="00046AE0">
              <w:rPr>
                <w:rFonts w:hAnsi="Times New Roman" w:cs="Times New Roman"/>
                <w:lang w:val="lt-LT"/>
              </w:rPr>
              <w:t>i</w:t>
            </w:r>
            <w:r w:rsidRPr="00046AE0">
              <w:rPr>
                <w:rFonts w:hAnsi="Times New Roman" w:cs="Times New Roman"/>
                <w:lang w:val="lt-LT"/>
              </w:rPr>
              <w:t xml:space="preserve">mui stebėti. Taip pat palankiai vertinamos ESS pastangos, siekiant patenkinti statistinės informacijos poreikius, reikalingus Europos Žaliajam kursui įgyvendinti. </w:t>
            </w:r>
          </w:p>
          <w:p w:rsidR="00046AE0" w:rsidRPr="00046AE0" w:rsidRDefault="00046AE0" w:rsidP="00046AE0">
            <w:pPr>
              <w:pStyle w:val="BodyA"/>
              <w:jc w:val="both"/>
              <w:rPr>
                <w:rFonts w:hAnsi="Times New Roman" w:cs="Times New Roman"/>
                <w:lang w:val="lt-LT"/>
              </w:rPr>
            </w:pPr>
            <w:r w:rsidRPr="00046AE0">
              <w:rPr>
                <w:rFonts w:hAnsi="Times New Roman" w:cs="Times New Roman"/>
                <w:lang w:val="lt-LT"/>
              </w:rPr>
              <w:t>Išvadose vertinama pažanga gerinant Pagrindinių Europos ekonominių rodiklių (</w:t>
            </w:r>
            <w:proofErr w:type="spellStart"/>
            <w:r w:rsidRPr="00046AE0">
              <w:rPr>
                <w:rFonts w:hAnsi="Times New Roman" w:cs="Times New Roman"/>
                <w:lang w:val="lt-LT"/>
              </w:rPr>
              <w:t>PEEIs</w:t>
            </w:r>
            <w:proofErr w:type="spellEnd"/>
            <w:r w:rsidRPr="00046AE0">
              <w:rPr>
                <w:rFonts w:hAnsi="Times New Roman" w:cs="Times New Roman"/>
                <w:lang w:val="lt-LT"/>
              </w:rPr>
              <w:t>) kokybę terit</w:t>
            </w:r>
            <w:r w:rsidRPr="00046AE0">
              <w:rPr>
                <w:rFonts w:hAnsi="Times New Roman" w:cs="Times New Roman"/>
                <w:lang w:val="lt-LT"/>
              </w:rPr>
              <w:t>o</w:t>
            </w:r>
            <w:r w:rsidRPr="00046AE0">
              <w:rPr>
                <w:rFonts w:hAnsi="Times New Roman" w:cs="Times New Roman"/>
                <w:lang w:val="lt-LT"/>
              </w:rPr>
              <w:t>rinės aprėpties, savalaikiškumo, laiko eilučių ilgio požiūriu.</w:t>
            </w:r>
            <w:r w:rsidR="004564E8">
              <w:rPr>
                <w:rFonts w:hAnsi="Times New Roman" w:cs="Times New Roman"/>
                <w:lang w:val="lt-LT"/>
              </w:rPr>
              <w:t xml:space="preserve"> </w:t>
            </w:r>
            <w:r w:rsidRPr="00046AE0">
              <w:rPr>
                <w:rFonts w:hAnsi="Times New Roman" w:cs="Times New Roman"/>
                <w:lang w:val="lt-LT"/>
              </w:rPr>
              <w:t>Išreiškiamas palankus vertin</w:t>
            </w:r>
            <w:r w:rsidRPr="00046AE0">
              <w:rPr>
                <w:rFonts w:hAnsi="Times New Roman" w:cs="Times New Roman"/>
                <w:lang w:val="lt-LT"/>
              </w:rPr>
              <w:t>i</w:t>
            </w:r>
            <w:r w:rsidRPr="00046AE0">
              <w:rPr>
                <w:rFonts w:hAnsi="Times New Roman" w:cs="Times New Roman"/>
                <w:lang w:val="lt-LT"/>
              </w:rPr>
              <w:t>mas ESS ir Europos centrinių bankų sistemos (ECBS) veiklai vystant komercinės paskirties n</w:t>
            </w:r>
            <w:r w:rsidRPr="00046AE0">
              <w:rPr>
                <w:rFonts w:hAnsi="Times New Roman" w:cs="Times New Roman"/>
                <w:lang w:val="lt-LT"/>
              </w:rPr>
              <w:t>e</w:t>
            </w:r>
            <w:r w:rsidRPr="00046AE0">
              <w:rPr>
                <w:rFonts w:hAnsi="Times New Roman" w:cs="Times New Roman"/>
                <w:lang w:val="lt-LT"/>
              </w:rPr>
              <w:t>kilnojamojo turto statistiką;  savininkų užimtų būstų išlaidas integruojant į infliacijos rodiklius.</w:t>
            </w:r>
          </w:p>
          <w:p w:rsidR="00046AE0" w:rsidRPr="00046AE0" w:rsidRDefault="00046AE0" w:rsidP="00046AE0">
            <w:pPr>
              <w:pStyle w:val="BodyA"/>
              <w:jc w:val="both"/>
              <w:rPr>
                <w:rFonts w:hAnsi="Times New Roman" w:cs="Times New Roman"/>
                <w:lang w:val="lt-LT"/>
              </w:rPr>
            </w:pPr>
            <w:r w:rsidRPr="00046AE0">
              <w:rPr>
                <w:rFonts w:hAnsi="Times New Roman" w:cs="Times New Roman"/>
                <w:lang w:val="lt-LT"/>
              </w:rPr>
              <w:t xml:space="preserve">Tarybos išvadose pritariama metinei ESS ir ECBS MIP </w:t>
            </w:r>
            <w:r>
              <w:rPr>
                <w:rFonts w:hAnsi="Times New Roman" w:cs="Times New Roman"/>
                <w:lang w:val="lt-LT"/>
              </w:rPr>
              <w:t xml:space="preserve">(makroekonominių </w:t>
            </w:r>
            <w:proofErr w:type="spellStart"/>
            <w:r>
              <w:rPr>
                <w:rFonts w:hAnsi="Times New Roman" w:cs="Times New Roman"/>
                <w:lang w:val="lt-LT"/>
              </w:rPr>
              <w:t>disbalansų</w:t>
            </w:r>
            <w:proofErr w:type="spellEnd"/>
            <w:r>
              <w:rPr>
                <w:rFonts w:hAnsi="Times New Roman" w:cs="Times New Roman"/>
                <w:lang w:val="lt-LT"/>
              </w:rPr>
              <w:t xml:space="preserve"> procedūros) </w:t>
            </w:r>
            <w:r w:rsidRPr="00046AE0">
              <w:rPr>
                <w:rFonts w:hAnsi="Times New Roman" w:cs="Times New Roman"/>
                <w:lang w:val="lt-LT"/>
              </w:rPr>
              <w:t>k</w:t>
            </w:r>
            <w:r w:rsidRPr="00046AE0">
              <w:rPr>
                <w:rFonts w:hAnsi="Times New Roman" w:cs="Times New Roman"/>
                <w:lang w:val="lt-LT"/>
              </w:rPr>
              <w:t>o</w:t>
            </w:r>
            <w:r w:rsidRPr="00046AE0">
              <w:rPr>
                <w:rFonts w:hAnsi="Times New Roman" w:cs="Times New Roman"/>
                <w:lang w:val="lt-LT"/>
              </w:rPr>
              <w:t>kybės ataskaitai ir joje numatytiems veiksmams. Šalys skatinamos užtikrinti Stabilumo ir augimo pakto įgyvendinimui reikalingos statistikos teikimą Euro</w:t>
            </w:r>
            <w:r>
              <w:rPr>
                <w:rFonts w:hAnsi="Times New Roman" w:cs="Times New Roman"/>
                <w:lang w:val="lt-LT"/>
              </w:rPr>
              <w:t xml:space="preserve">statui. </w:t>
            </w:r>
            <w:r w:rsidRPr="00046AE0">
              <w:rPr>
                <w:rFonts w:hAnsi="Times New Roman" w:cs="Times New Roman"/>
                <w:lang w:val="lt-LT"/>
              </w:rPr>
              <w:t>Taip pat pripažįstama g</w:t>
            </w:r>
            <w:r w:rsidRPr="00046AE0">
              <w:rPr>
                <w:rFonts w:hAnsi="Times New Roman" w:cs="Times New Roman"/>
                <w:lang w:val="lt-LT"/>
              </w:rPr>
              <w:t>y</w:t>
            </w:r>
            <w:r w:rsidRPr="00046AE0">
              <w:rPr>
                <w:rFonts w:hAnsi="Times New Roman" w:cs="Times New Roman"/>
                <w:lang w:val="lt-LT"/>
              </w:rPr>
              <w:t>ventojų prognozių, socialinės statistikos modernizavimo didinant jos detalumą ir savalaikiškumą svarba. Palankiai vertin</w:t>
            </w:r>
            <w:r w:rsidRPr="00046AE0">
              <w:rPr>
                <w:rFonts w:hAnsi="Times New Roman" w:cs="Times New Roman"/>
                <w:lang w:val="lt-LT"/>
              </w:rPr>
              <w:t>a</w:t>
            </w:r>
            <w:r w:rsidRPr="00046AE0">
              <w:rPr>
                <w:rFonts w:hAnsi="Times New Roman" w:cs="Times New Roman"/>
                <w:lang w:val="lt-LT"/>
              </w:rPr>
              <w:t>ma pandemijos mastą ir poveikį atspindinčios statistinės informacijos apie perteklines mirtis sklaida.</w:t>
            </w:r>
          </w:p>
          <w:p w:rsidR="00046AE0" w:rsidRPr="00046AE0" w:rsidRDefault="00046AE0" w:rsidP="00046AE0">
            <w:pPr>
              <w:pStyle w:val="BodyA"/>
              <w:jc w:val="both"/>
              <w:rPr>
                <w:rFonts w:hAnsi="Times New Roman" w:cs="Times New Roman"/>
                <w:lang w:val="lt-LT"/>
              </w:rPr>
            </w:pPr>
            <w:r w:rsidRPr="00046AE0">
              <w:rPr>
                <w:rFonts w:hAnsi="Times New Roman" w:cs="Times New Roman"/>
                <w:lang w:val="lt-LT"/>
              </w:rPr>
              <w:t>Išvadose palankiai vertinami pokyčiai, susiję su Europos verslo statistikos reglamento reikalavimų įg</w:t>
            </w:r>
            <w:r w:rsidRPr="00046AE0">
              <w:rPr>
                <w:rFonts w:hAnsi="Times New Roman" w:cs="Times New Roman"/>
                <w:lang w:val="lt-LT"/>
              </w:rPr>
              <w:t>y</w:t>
            </w:r>
            <w:r w:rsidRPr="00046AE0">
              <w:rPr>
                <w:rFonts w:hAnsi="Times New Roman" w:cs="Times New Roman"/>
                <w:lang w:val="lt-LT"/>
              </w:rPr>
              <w:t>vendinimu ir  verslo statistikos aktualumo didinimu (perėjimas prie mėnesinės paslaugų statistikos, d</w:t>
            </w:r>
            <w:r w:rsidRPr="00046AE0">
              <w:rPr>
                <w:rFonts w:hAnsi="Times New Roman" w:cs="Times New Roman"/>
                <w:lang w:val="lt-LT"/>
              </w:rPr>
              <w:t>e</w:t>
            </w:r>
            <w:r w:rsidRPr="00046AE0">
              <w:rPr>
                <w:rFonts w:hAnsi="Times New Roman" w:cs="Times New Roman"/>
                <w:lang w:val="lt-LT"/>
              </w:rPr>
              <w:t>talesnė tarptautinės prekybos statistika, apgyvendinimo paslaugų e-platformų du</w:t>
            </w:r>
            <w:r w:rsidRPr="00046AE0">
              <w:rPr>
                <w:rFonts w:hAnsi="Times New Roman" w:cs="Times New Roman"/>
                <w:lang w:val="lt-LT"/>
              </w:rPr>
              <w:t>o</w:t>
            </w:r>
            <w:r w:rsidRPr="00046AE0">
              <w:rPr>
                <w:rFonts w:hAnsi="Times New Roman" w:cs="Times New Roman"/>
                <w:lang w:val="lt-LT"/>
              </w:rPr>
              <w:t xml:space="preserve">menų panaudojimas naujai turizmo statistikai rengti). </w:t>
            </w:r>
          </w:p>
          <w:p w:rsidR="00046AE0" w:rsidRPr="00DF5114" w:rsidRDefault="00046AE0" w:rsidP="00046AE0">
            <w:pPr>
              <w:pStyle w:val="BodyA"/>
              <w:jc w:val="both"/>
              <w:rPr>
                <w:rFonts w:hAnsi="Times New Roman" w:cs="Times New Roman"/>
                <w:lang w:val="lt-LT"/>
              </w:rPr>
            </w:pPr>
            <w:r w:rsidRPr="00046AE0">
              <w:rPr>
                <w:rFonts w:hAnsi="Times New Roman" w:cs="Times New Roman"/>
                <w:lang w:val="lt-LT"/>
              </w:rPr>
              <w:t>Atspindint globalizacijos procesus, pripažįstama ESS ir ESBS bendradarbiavimo svarba ir skat</w:t>
            </w:r>
            <w:r w:rsidRPr="00046AE0">
              <w:rPr>
                <w:rFonts w:hAnsi="Times New Roman" w:cs="Times New Roman"/>
                <w:lang w:val="lt-LT"/>
              </w:rPr>
              <w:t>i</w:t>
            </w:r>
            <w:r w:rsidRPr="00046AE0">
              <w:rPr>
                <w:rFonts w:hAnsi="Times New Roman" w:cs="Times New Roman"/>
                <w:lang w:val="lt-LT"/>
              </w:rPr>
              <w:t>namos duomenų mainų tarp statistikos rengėjų iniciatyvos. Tuo pačiu pabrėžiamas poreikis plėtoti ir tobulinti verslo duomenų jungimą, prieigą prie administracinių ir naujų duomenų šaltinių.</w:t>
            </w:r>
          </w:p>
          <w:p w:rsidR="00161D1D" w:rsidRPr="00DF5114" w:rsidRDefault="00161D1D" w:rsidP="00811E87">
            <w:pPr>
              <w:pStyle w:val="BodyA"/>
              <w:jc w:val="both"/>
              <w:rPr>
                <w:rFonts w:hAnsi="Times New Roman" w:cs="Times New Roman"/>
                <w:lang w:val="lt-LT"/>
              </w:rPr>
            </w:pPr>
          </w:p>
          <w:p w:rsidR="00811E87" w:rsidRDefault="0098163A" w:rsidP="00C70F7A">
            <w:pPr>
              <w:pStyle w:val="BodyA"/>
              <w:jc w:val="both"/>
              <w:rPr>
                <w:rFonts w:hAnsi="Times New Roman" w:cs="Times New Roman"/>
                <w:lang w:val="lt-LT"/>
              </w:rPr>
            </w:pPr>
            <w:r w:rsidRPr="00DF5114">
              <w:rPr>
                <w:rFonts w:hAnsi="Times New Roman" w:cs="Times New Roman"/>
                <w:b/>
                <w:u w:val="single"/>
                <w:lang w:val="lt-LT"/>
              </w:rPr>
              <w:t>Lietuvos pozicija</w:t>
            </w:r>
            <w:r w:rsidRPr="00DF5114">
              <w:rPr>
                <w:rFonts w:hAnsi="Times New Roman" w:cs="Times New Roman"/>
                <w:u w:val="single"/>
                <w:lang w:val="lt-LT"/>
              </w:rPr>
              <w:t>.</w:t>
            </w:r>
            <w:r w:rsidR="009A0353">
              <w:rPr>
                <w:rFonts w:hAnsi="Times New Roman" w:cs="Times New Roman"/>
                <w:lang w:val="lt-LT"/>
              </w:rPr>
              <w:t xml:space="preserve"> </w:t>
            </w:r>
            <w:r w:rsidR="00046AE0">
              <w:rPr>
                <w:rFonts w:hAnsi="Times New Roman" w:cs="Times New Roman"/>
                <w:lang w:val="lt-LT"/>
              </w:rPr>
              <w:t>Pritarti Tarybos išvadų projektui</w:t>
            </w:r>
            <w:r w:rsidR="00046AE0" w:rsidRPr="00046AE0">
              <w:rPr>
                <w:rFonts w:hAnsi="Times New Roman" w:cs="Times New Roman"/>
                <w:lang w:val="lt-LT"/>
              </w:rPr>
              <w:t xml:space="preserve"> dėl ES statistikos</w:t>
            </w:r>
            <w:r w:rsidR="00046AE0">
              <w:rPr>
                <w:rFonts w:hAnsi="Times New Roman" w:cs="Times New Roman"/>
                <w:lang w:val="lt-LT"/>
              </w:rPr>
              <w:t>.</w:t>
            </w:r>
          </w:p>
          <w:p w:rsidR="00F23079" w:rsidRDefault="00F23079" w:rsidP="00C70F7A">
            <w:pPr>
              <w:pStyle w:val="BodyA"/>
              <w:jc w:val="both"/>
              <w:rPr>
                <w:rFonts w:hAnsi="Times New Roman" w:cs="Times New Roman"/>
                <w:lang w:val="lt-LT"/>
              </w:rPr>
            </w:pPr>
          </w:p>
          <w:p w:rsidR="00F23079" w:rsidRDefault="00F23079" w:rsidP="00F23079">
            <w:pPr>
              <w:pStyle w:val="BodyA"/>
              <w:jc w:val="both"/>
              <w:rPr>
                <w:rFonts w:eastAsia="Calibri" w:hAnsi="Times New Roman" w:cs="Times New Roman"/>
                <w:bdr w:val="none" w:sz="0" w:space="0" w:color="auto"/>
                <w:lang w:val="lt-LT"/>
              </w:rPr>
            </w:pPr>
            <w:r w:rsidRPr="00F23079">
              <w:rPr>
                <w:rFonts w:eastAsia="Calibri" w:hAnsi="Times New Roman" w:cs="Times New Roman"/>
                <w:b/>
                <w:bdr w:val="none" w:sz="0" w:space="0" w:color="auto"/>
                <w:lang w:val="lt-LT"/>
              </w:rPr>
              <w:t>8. Europos Audito Rūmų metinė ataskaita dėl 2020 finansinių metų Europos Sąjungos bi</w:t>
            </w:r>
            <w:r w:rsidRPr="00F23079">
              <w:rPr>
                <w:rFonts w:eastAsia="Calibri" w:hAnsi="Times New Roman" w:cs="Times New Roman"/>
                <w:b/>
                <w:bdr w:val="none" w:sz="0" w:space="0" w:color="auto"/>
                <w:lang w:val="lt-LT"/>
              </w:rPr>
              <w:t>u</w:t>
            </w:r>
            <w:r w:rsidRPr="00F23079">
              <w:rPr>
                <w:rFonts w:eastAsia="Calibri" w:hAnsi="Times New Roman" w:cs="Times New Roman"/>
                <w:b/>
                <w:bdr w:val="none" w:sz="0" w:space="0" w:color="auto"/>
                <w:lang w:val="lt-LT"/>
              </w:rPr>
              <w:t xml:space="preserve">džeto </w:t>
            </w:r>
            <w:r w:rsidRPr="00F23079">
              <w:rPr>
                <w:rFonts w:eastAsia="Calibri" w:hAnsi="Times New Roman" w:cs="Times New Roman"/>
                <w:b/>
                <w:bdr w:val="none" w:sz="0" w:space="0" w:color="auto"/>
                <w:lang w:val="lt-LT"/>
              </w:rPr>
              <w:lastRenderedPageBreak/>
              <w:t>įvykd</w:t>
            </w:r>
            <w:r>
              <w:rPr>
                <w:rFonts w:eastAsia="Calibri" w:hAnsi="Times New Roman" w:cs="Times New Roman"/>
                <w:b/>
                <w:bdr w:val="none" w:sz="0" w:space="0" w:color="auto"/>
                <w:lang w:val="lt-LT"/>
              </w:rPr>
              <w:t>ymo (</w:t>
            </w:r>
            <w:r w:rsidRPr="00F23079">
              <w:rPr>
                <w:rFonts w:eastAsia="Calibri" w:hAnsi="Times New Roman" w:cs="Times New Roman"/>
                <w:i/>
                <w:bdr w:val="none" w:sz="0" w:space="0" w:color="auto"/>
                <w:lang w:val="lt-LT"/>
              </w:rPr>
              <w:t>Pranešimas</w:t>
            </w:r>
            <w:r>
              <w:rPr>
                <w:rFonts w:eastAsia="Calibri" w:hAnsi="Times New Roman" w:cs="Times New Roman"/>
                <w:bdr w:val="none" w:sz="0" w:space="0" w:color="auto"/>
                <w:lang w:val="lt-LT"/>
              </w:rPr>
              <w:t>)</w:t>
            </w:r>
          </w:p>
          <w:p w:rsidR="00E87C6E" w:rsidRPr="00E87C6E" w:rsidRDefault="00E87C6E" w:rsidP="00F23079">
            <w:pPr>
              <w:pStyle w:val="BodyA"/>
              <w:jc w:val="both"/>
              <w:rPr>
                <w:rFonts w:eastAsia="Calibri" w:hAnsi="Times New Roman" w:cs="Times New Roman"/>
                <w:bdr w:val="none" w:sz="0" w:space="0" w:color="auto"/>
                <w:lang w:val="lt-LT"/>
              </w:rPr>
            </w:pPr>
            <w:r w:rsidRPr="00DF5114">
              <w:rPr>
                <w:rFonts w:hAnsi="Times New Roman" w:cs="Times New Roman"/>
                <w:b/>
                <w:u w:val="single"/>
                <w:lang w:val="lt-LT"/>
              </w:rPr>
              <w:t>Klausimo esmė.</w:t>
            </w:r>
            <w:r w:rsidRPr="00DF5114">
              <w:rPr>
                <w:rFonts w:hAnsi="Times New Roman" w:cs="Times New Roman"/>
                <w:lang w:val="lt-LT"/>
              </w:rPr>
              <w:t xml:space="preserve"> </w:t>
            </w:r>
            <w:r w:rsidRPr="00E87C6E">
              <w:rPr>
                <w:rFonts w:eastAsia="Calibri" w:hAnsi="Times New Roman" w:cs="Times New Roman"/>
                <w:bdr w:val="none" w:sz="0" w:space="0" w:color="auto"/>
                <w:lang w:val="lt-LT"/>
              </w:rPr>
              <w:t>ECOFIN metu Europos Audito Rūmai (toliau – EAR) pristatys metinę ataskaitą dėl 2020 m. finansinių metų ES biudžeto įgyvendinimo. EAR kasmet pateikiama praėjusių fina</w:t>
            </w:r>
            <w:r w:rsidRPr="00E87C6E">
              <w:rPr>
                <w:rFonts w:eastAsia="Calibri" w:hAnsi="Times New Roman" w:cs="Times New Roman"/>
                <w:bdr w:val="none" w:sz="0" w:space="0" w:color="auto"/>
                <w:lang w:val="lt-LT"/>
              </w:rPr>
              <w:t>n</w:t>
            </w:r>
            <w:r w:rsidRPr="00E87C6E">
              <w:rPr>
                <w:rFonts w:eastAsia="Calibri" w:hAnsi="Times New Roman" w:cs="Times New Roman"/>
                <w:bdr w:val="none" w:sz="0" w:space="0" w:color="auto"/>
                <w:lang w:val="lt-LT"/>
              </w:rPr>
              <w:t xml:space="preserve">sinių metų ES biudžeto vykdymo ataskaita šiais metais išplatinta spalio 26 d. Šiuo dokumentu remiamasi atliekant ES biudžeto įvykdymo patvirtinimo procedūrą (angl. </w:t>
            </w:r>
            <w:proofErr w:type="spellStart"/>
            <w:r w:rsidRPr="00E87C6E">
              <w:rPr>
                <w:rFonts w:eastAsia="Calibri" w:hAnsi="Times New Roman" w:cs="Times New Roman"/>
                <w:i/>
                <w:bdr w:val="none" w:sz="0" w:space="0" w:color="auto"/>
                <w:lang w:val="lt-LT"/>
              </w:rPr>
              <w:t>discharge</w:t>
            </w:r>
            <w:proofErr w:type="spellEnd"/>
            <w:r w:rsidRPr="00E87C6E">
              <w:rPr>
                <w:rFonts w:eastAsia="Calibri" w:hAnsi="Times New Roman" w:cs="Times New Roman"/>
                <w:bdr w:val="none" w:sz="0" w:space="0" w:color="auto"/>
                <w:lang w:val="lt-LT"/>
              </w:rPr>
              <w:t>), kuria yra užbaigiamas metinio biudž</w:t>
            </w:r>
            <w:r w:rsidRPr="00E87C6E">
              <w:rPr>
                <w:rFonts w:eastAsia="Calibri" w:hAnsi="Times New Roman" w:cs="Times New Roman"/>
                <w:bdr w:val="none" w:sz="0" w:space="0" w:color="auto"/>
                <w:lang w:val="lt-LT"/>
              </w:rPr>
              <w:t>e</w:t>
            </w:r>
            <w:r w:rsidRPr="00E87C6E">
              <w:rPr>
                <w:rFonts w:eastAsia="Calibri" w:hAnsi="Times New Roman" w:cs="Times New Roman"/>
                <w:bdr w:val="none" w:sz="0" w:space="0" w:color="auto"/>
                <w:lang w:val="lt-LT"/>
              </w:rPr>
              <w:t>to vykdymo procesas. Svarbiausioji šios ataskaitos dalis - EAR pat</w:t>
            </w:r>
            <w:r w:rsidRPr="00E87C6E">
              <w:rPr>
                <w:rFonts w:eastAsia="Calibri" w:hAnsi="Times New Roman" w:cs="Times New Roman"/>
                <w:bdr w:val="none" w:sz="0" w:space="0" w:color="auto"/>
                <w:lang w:val="lt-LT"/>
              </w:rPr>
              <w:t>i</w:t>
            </w:r>
            <w:r w:rsidRPr="00E87C6E">
              <w:rPr>
                <w:rFonts w:eastAsia="Calibri" w:hAnsi="Times New Roman" w:cs="Times New Roman"/>
                <w:bdr w:val="none" w:sz="0" w:space="0" w:color="auto"/>
                <w:lang w:val="lt-LT"/>
              </w:rPr>
              <w:t>kinimo pareiškimas dėl ES metinių finansinių ataskaitų patikimumo ir finansinėse ataskaitose atspindimų operacijų teisėtumo ir tvarking</w:t>
            </w:r>
            <w:r w:rsidRPr="00E87C6E">
              <w:rPr>
                <w:rFonts w:eastAsia="Calibri" w:hAnsi="Times New Roman" w:cs="Times New Roman"/>
                <w:bdr w:val="none" w:sz="0" w:space="0" w:color="auto"/>
                <w:lang w:val="lt-LT"/>
              </w:rPr>
              <w:t>u</w:t>
            </w:r>
            <w:r w:rsidRPr="00E87C6E">
              <w:rPr>
                <w:rFonts w:eastAsia="Calibri" w:hAnsi="Times New Roman" w:cs="Times New Roman"/>
                <w:bdr w:val="none" w:sz="0" w:space="0" w:color="auto"/>
                <w:lang w:val="lt-LT"/>
              </w:rPr>
              <w:t>mo. 2020 m. finansinių metų ES biudžeto įgyvendinimo ataskaitoje EAR pateikė palankią nuomonę dėl 2020 m. finansinių ataskaitų patikimumo ir patvi</w:t>
            </w:r>
            <w:r w:rsidRPr="00E87C6E">
              <w:rPr>
                <w:rFonts w:eastAsia="Calibri" w:hAnsi="Times New Roman" w:cs="Times New Roman"/>
                <w:bdr w:val="none" w:sz="0" w:space="0" w:color="auto"/>
                <w:lang w:val="lt-LT"/>
              </w:rPr>
              <w:t>r</w:t>
            </w:r>
            <w:r w:rsidRPr="00E87C6E">
              <w:rPr>
                <w:rFonts w:eastAsia="Calibri" w:hAnsi="Times New Roman" w:cs="Times New Roman"/>
                <w:bdr w:val="none" w:sz="0" w:space="0" w:color="auto"/>
                <w:lang w:val="lt-LT"/>
              </w:rPr>
              <w:t>tino, kad 2020 m. ES biudžeto pajamos buvo teisėtos ir tvarkingos. Vis dėlto, EAR pateikė ne</w:t>
            </w:r>
            <w:r w:rsidRPr="00E87C6E">
              <w:rPr>
                <w:rFonts w:eastAsia="Calibri" w:hAnsi="Times New Roman" w:cs="Times New Roman"/>
                <w:bdr w:val="none" w:sz="0" w:space="0" w:color="auto"/>
                <w:lang w:val="lt-LT"/>
              </w:rPr>
              <w:t>i</w:t>
            </w:r>
            <w:r w:rsidRPr="00E87C6E">
              <w:rPr>
                <w:rFonts w:eastAsia="Calibri" w:hAnsi="Times New Roman" w:cs="Times New Roman"/>
                <w:bdr w:val="none" w:sz="0" w:space="0" w:color="auto"/>
                <w:lang w:val="lt-LT"/>
              </w:rPr>
              <w:t>giamą nuomonę dėl 2020 m. ES biudžeto išlaidų teisėtumo ir tvarkingumo.</w:t>
            </w:r>
          </w:p>
          <w:p w:rsidR="00E87C6E" w:rsidRPr="00E87C6E" w:rsidRDefault="00E87C6E" w:rsidP="00E87C6E">
            <w:pPr>
              <w:autoSpaceDE w:val="0"/>
              <w:autoSpaceDN w:val="0"/>
              <w:adjustRightInd w:val="0"/>
              <w:jc w:val="both"/>
              <w:rPr>
                <w:rFonts w:eastAsia="Calibri"/>
                <w:bdr w:val="none" w:sz="0" w:space="0" w:color="auto"/>
                <w:lang w:val="lt-LT"/>
              </w:rPr>
            </w:pPr>
            <w:r w:rsidRPr="00DF5114">
              <w:rPr>
                <w:b/>
                <w:u w:val="single"/>
                <w:lang w:val="lt-LT"/>
              </w:rPr>
              <w:t>Lietuvos pozicija</w:t>
            </w:r>
            <w:r w:rsidRPr="00DF5114">
              <w:rPr>
                <w:u w:val="single"/>
                <w:lang w:val="lt-LT"/>
              </w:rPr>
              <w:t>.</w:t>
            </w:r>
            <w:r w:rsidRPr="00E87C6E">
              <w:rPr>
                <w:rFonts w:eastAsia="Calibri"/>
                <w:color w:val="000000"/>
                <w:bdr w:val="none" w:sz="0" w:space="0" w:color="auto"/>
                <w:lang w:val="lt-LT"/>
              </w:rPr>
              <w:t xml:space="preserve"> Išklausyti EAR 2020 finansinių metų metinės ataskaitos pristatymą.</w:t>
            </w:r>
          </w:p>
          <w:p w:rsidR="0076574D" w:rsidRPr="0076574D" w:rsidRDefault="0076574D" w:rsidP="0076574D">
            <w:pPr>
              <w:pStyle w:val="BodyA"/>
              <w:rPr>
                <w:rFonts w:hAnsi="Times New Roman" w:cs="Times New Roman"/>
                <w:b/>
                <w:lang w:val="lt-LT"/>
              </w:rPr>
            </w:pPr>
          </w:p>
        </w:tc>
      </w:tr>
    </w:tbl>
    <w:p w:rsidR="005515EF" w:rsidRDefault="005515EF" w:rsidP="00704CBF">
      <w:pPr>
        <w:jc w:val="center"/>
        <w:rPr>
          <w:rFonts w:eastAsia="Calibri"/>
          <w:b/>
          <w:lang w:val="lt-LT"/>
        </w:rPr>
      </w:pPr>
    </w:p>
    <w:p w:rsidR="00C56C82" w:rsidRDefault="00C56C82" w:rsidP="00704CBF">
      <w:pPr>
        <w:jc w:val="center"/>
        <w:rPr>
          <w:rFonts w:eastAsia="Calibri"/>
          <w:b/>
          <w:lang w:val="lt-LT"/>
        </w:rPr>
      </w:pPr>
    </w:p>
    <w:p w:rsidR="002F39D0" w:rsidRPr="00E47362" w:rsidRDefault="00790FF5" w:rsidP="00704CBF">
      <w:pPr>
        <w:jc w:val="center"/>
        <w:rPr>
          <w:rFonts w:eastAsia="Calibri"/>
          <w:b/>
          <w:lang w:val="lt-LT"/>
        </w:rPr>
      </w:pPr>
      <w:r w:rsidRPr="00E47362">
        <w:rPr>
          <w:rFonts w:eastAsia="Calibri"/>
          <w:b/>
          <w:lang w:val="lt-LT"/>
        </w:rPr>
        <w:t>2021</w:t>
      </w:r>
      <w:r w:rsidR="00274F66" w:rsidRPr="00E47362">
        <w:rPr>
          <w:rFonts w:eastAsia="Calibri"/>
          <w:b/>
          <w:lang w:val="lt-LT"/>
        </w:rPr>
        <w:t xml:space="preserve"> </w:t>
      </w:r>
      <w:r w:rsidR="007327EE">
        <w:rPr>
          <w:rFonts w:eastAsia="Calibri"/>
          <w:b/>
          <w:lang w:val="lt-LT"/>
        </w:rPr>
        <w:t>M. LAPKRIČIO 8</w:t>
      </w:r>
      <w:r w:rsidR="00EE0A8F" w:rsidRPr="00E47362">
        <w:rPr>
          <w:rFonts w:eastAsia="Calibri"/>
          <w:b/>
          <w:lang w:val="lt-LT"/>
        </w:rPr>
        <w:t xml:space="preserve"> D. EURO GRUPĖS </w:t>
      </w:r>
      <w:r w:rsidR="00185FD2">
        <w:rPr>
          <w:rFonts w:eastAsia="Calibri"/>
          <w:b/>
          <w:lang w:val="lt-LT"/>
        </w:rPr>
        <w:t xml:space="preserve">(EG) </w:t>
      </w:r>
      <w:r w:rsidR="00A43544">
        <w:rPr>
          <w:rFonts w:eastAsia="Calibri"/>
          <w:b/>
          <w:lang w:val="lt-LT"/>
        </w:rPr>
        <w:t>SUSITIKIMAS</w:t>
      </w:r>
    </w:p>
    <w:p w:rsidR="00530736" w:rsidRDefault="00530736" w:rsidP="00530736">
      <w:pPr>
        <w:pStyle w:val="Default"/>
      </w:pPr>
    </w:p>
    <w:p w:rsidR="00AE4846" w:rsidRDefault="00AE4846" w:rsidP="00664A68">
      <w:pPr>
        <w:pBdr>
          <w:top w:val="single" w:sz="4" w:space="1" w:color="auto"/>
          <w:left w:val="single" w:sz="4" w:space="4" w:color="auto"/>
          <w:bottom w:val="single" w:sz="4" w:space="1" w:color="auto"/>
          <w:right w:val="single" w:sz="4" w:space="4" w:color="auto"/>
          <w:between w:val="none" w:sz="0" w:space="0" w:color="auto"/>
          <w:bar w:val="none" w:sz="0" w:color="auto"/>
        </w:pBdr>
        <w:rPr>
          <w:b/>
          <w:color w:val="202124"/>
          <w:bdr w:val="none" w:sz="0" w:space="0" w:color="auto"/>
          <w:lang w:val="lt-LT" w:eastAsia="lt-LT"/>
        </w:rPr>
      </w:pPr>
      <w:r w:rsidRPr="005A71D9">
        <w:rPr>
          <w:b/>
          <w:color w:val="202124"/>
          <w:bdr w:val="none" w:sz="0" w:space="0" w:color="auto"/>
          <w:lang w:val="lt-LT" w:eastAsia="lt-LT"/>
        </w:rPr>
        <w:t>1</w:t>
      </w:r>
      <w:r w:rsidRPr="009A52A2">
        <w:rPr>
          <w:b/>
          <w:color w:val="202124"/>
          <w:bdr w:val="none" w:sz="0" w:space="0" w:color="auto"/>
          <w:lang w:val="lt-LT" w:eastAsia="lt-LT"/>
        </w:rPr>
        <w:t xml:space="preserve">. </w:t>
      </w:r>
      <w:proofErr w:type="spellStart"/>
      <w:r w:rsidR="00EA7709" w:rsidRPr="00EA7709">
        <w:rPr>
          <w:b/>
          <w:color w:val="202124"/>
          <w:bdr w:val="none" w:sz="0" w:space="0" w:color="auto"/>
          <w:lang w:val="lt-LT" w:eastAsia="lt-LT"/>
        </w:rPr>
        <w:t>Makorekonominės</w:t>
      </w:r>
      <w:proofErr w:type="spellEnd"/>
      <w:r w:rsidR="00EA7709" w:rsidRPr="00EA7709">
        <w:rPr>
          <w:b/>
          <w:color w:val="202124"/>
          <w:bdr w:val="none" w:sz="0" w:space="0" w:color="auto"/>
          <w:lang w:val="lt-LT" w:eastAsia="lt-LT"/>
        </w:rPr>
        <w:t xml:space="preserve"> tendencijos, įskaitant </w:t>
      </w:r>
      <w:r w:rsidR="00293151">
        <w:rPr>
          <w:b/>
          <w:color w:val="202124"/>
          <w:bdr w:val="none" w:sz="0" w:space="0" w:color="auto"/>
          <w:lang w:val="lt-LT" w:eastAsia="lt-LT"/>
        </w:rPr>
        <w:t>infliaciją, ir politikos perspektyvos euro zonoje</w:t>
      </w:r>
    </w:p>
    <w:p w:rsidR="00EA7709" w:rsidRDefault="00AE4846" w:rsidP="00293151">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9A52A2">
        <w:rPr>
          <w:b/>
          <w:u w:val="single"/>
          <w:bdr w:val="none" w:sz="0" w:space="0" w:color="auto"/>
          <w:lang w:val="lt-LT"/>
        </w:rPr>
        <w:t>Klausimo esmė.</w:t>
      </w:r>
      <w:r w:rsidRPr="009A52A2">
        <w:rPr>
          <w:bdr w:val="none" w:sz="0" w:space="0" w:color="auto"/>
          <w:lang w:val="lt-LT"/>
        </w:rPr>
        <w:t xml:space="preserve"> </w:t>
      </w:r>
      <w:r w:rsidR="00185FD2">
        <w:rPr>
          <w:bdr w:val="none" w:sz="0" w:space="0" w:color="auto"/>
          <w:lang w:val="lt-LT"/>
        </w:rPr>
        <w:t>EG metu bus aptartas klausimas dėl makroekonominių tendencijų ir</w:t>
      </w:r>
      <w:r w:rsidR="00293151">
        <w:rPr>
          <w:bdr w:val="none" w:sz="0" w:space="0" w:color="auto"/>
          <w:lang w:val="lt-LT"/>
        </w:rPr>
        <w:t xml:space="preserve"> infliacijos</w:t>
      </w:r>
      <w:r w:rsidR="00185FD2">
        <w:rPr>
          <w:bdr w:val="none" w:sz="0" w:space="0" w:color="auto"/>
          <w:lang w:val="lt-LT"/>
        </w:rPr>
        <w:t xml:space="preserve">. </w:t>
      </w:r>
      <w:r w:rsidR="00293151">
        <w:rPr>
          <w:bdr w:val="none" w:sz="0" w:space="0" w:color="auto"/>
          <w:lang w:val="lt-LT"/>
        </w:rPr>
        <w:t>Euro zonoje v</w:t>
      </w:r>
      <w:r w:rsidR="00293151" w:rsidRPr="00293151">
        <w:rPr>
          <w:bdr w:val="none" w:sz="0" w:space="0" w:color="auto"/>
          <w:lang w:val="lt-LT"/>
        </w:rPr>
        <w:t>ykstant ekonominiam atsigavimui infliaciją kelia didėjanti paklausa ir pasiūlos pusės trikdžiai, kartu su nedidelėmis prekių atsargomis, kurie neleidžia greitai patenkinti pakilusios paklausos. Toki</w:t>
      </w:r>
      <w:r w:rsidR="00293151" w:rsidRPr="00293151">
        <w:rPr>
          <w:bdr w:val="none" w:sz="0" w:space="0" w:color="auto"/>
          <w:lang w:val="lt-LT"/>
        </w:rPr>
        <w:t>o</w:t>
      </w:r>
      <w:r w:rsidR="00293151" w:rsidRPr="00293151">
        <w:rPr>
          <w:bdr w:val="none" w:sz="0" w:space="0" w:color="auto"/>
          <w:lang w:val="lt-LT"/>
        </w:rPr>
        <w:t>mis sąlygomis kylančios infliacijos tikėtasi, bet kilimo spartumas ir dydis buvo netikėtas. Dauguma fa</w:t>
      </w:r>
      <w:r w:rsidR="00293151" w:rsidRPr="00293151">
        <w:rPr>
          <w:bdr w:val="none" w:sz="0" w:space="0" w:color="auto"/>
          <w:lang w:val="lt-LT"/>
        </w:rPr>
        <w:t>k</w:t>
      </w:r>
      <w:r w:rsidR="00293151" w:rsidRPr="00293151">
        <w:rPr>
          <w:bdr w:val="none" w:sz="0" w:space="0" w:color="auto"/>
          <w:lang w:val="lt-LT"/>
        </w:rPr>
        <w:t>torių, lemiančių šį augimą, yra susiję su pandemija, todėl yra laikini/ pereinamojo laikotarpio.</w:t>
      </w:r>
    </w:p>
    <w:p w:rsidR="00293151" w:rsidRPr="00293151" w:rsidRDefault="00293151" w:rsidP="00293151">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293151">
        <w:rPr>
          <w:u w:val="single"/>
          <w:bdr w:val="none" w:sz="0" w:space="0" w:color="auto"/>
          <w:lang w:val="lt-LT"/>
        </w:rPr>
        <w:t>Infliacijos padėtis LT.</w:t>
      </w:r>
      <w:r w:rsidRPr="00293151">
        <w:rPr>
          <w:bdr w:val="none" w:sz="0" w:space="0" w:color="auto"/>
          <w:lang w:val="lt-LT"/>
        </w:rPr>
        <w:t xml:space="preserve"> 2021 m. metinė infliacija </w:t>
      </w:r>
      <w:r>
        <w:rPr>
          <w:bdr w:val="none" w:sz="0" w:space="0" w:color="auto"/>
          <w:lang w:val="lt-LT"/>
        </w:rPr>
        <w:t xml:space="preserve">taip pat </w:t>
      </w:r>
      <w:r w:rsidRPr="00293151">
        <w:rPr>
          <w:bdr w:val="none" w:sz="0" w:space="0" w:color="auto"/>
          <w:lang w:val="lt-LT"/>
        </w:rPr>
        <w:t>spartėja, ją skatina daugiausia trumpalaikiai išorės veiksniai – importuojamos aukštos energijos ir kitų pramoninių prekių žaliavų kainos. Pakilusios pasaulinės naftos, dujų, taip pat biokuro kainos lemia  aukštesnes transporto priemonių degalų, šilumos energijos ir kito kuro kainas. Nuo metų vidurio šiek tiek padidėjo maisto produktų ir paslaugų kainos, tačiau jos turi mažesnį poveikį infliacijos tempui nei pramoninių prekių kainos.</w:t>
      </w:r>
    </w:p>
    <w:p w:rsidR="00293151" w:rsidRPr="009A52A2" w:rsidRDefault="00293151" w:rsidP="00293151">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Pr>
          <w:bdr w:val="none" w:sz="0" w:space="0" w:color="auto"/>
          <w:lang w:val="lt-LT"/>
        </w:rPr>
        <w:t xml:space="preserve">Finansų ministerija </w:t>
      </w:r>
      <w:r w:rsidRPr="00293151">
        <w:rPr>
          <w:bdr w:val="none" w:sz="0" w:space="0" w:color="auto"/>
          <w:lang w:val="lt-LT"/>
        </w:rPr>
        <w:t xml:space="preserve">numato, kad 2021 m. vidutinė metinė infliacija sudarys 3,4 proc., o pagrindinis jos veikinys bus aukštos energijos prekių kainos. 2022 m. infliacijos tempas </w:t>
      </w:r>
      <w:r>
        <w:rPr>
          <w:bdr w:val="none" w:sz="0" w:space="0" w:color="auto"/>
          <w:lang w:val="lt-LT"/>
        </w:rPr>
        <w:t>turėtų sulėtėti</w:t>
      </w:r>
      <w:r w:rsidRPr="00293151">
        <w:rPr>
          <w:bdr w:val="none" w:sz="0" w:space="0" w:color="auto"/>
          <w:lang w:val="lt-LT"/>
        </w:rPr>
        <w:t xml:space="preserve"> iki 2,5 proc., o 2023–2024 m. – iki 2 proc.</w:t>
      </w:r>
    </w:p>
    <w:p w:rsidR="00651ACB" w:rsidRDefault="00651ACB"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u w:val="single"/>
          <w:bdr w:val="none" w:sz="0" w:space="0" w:color="auto"/>
          <w:lang w:val="lt-LT"/>
        </w:rPr>
      </w:pPr>
    </w:p>
    <w:p w:rsidR="00501186" w:rsidRPr="00501186" w:rsidRDefault="005A71D9" w:rsidP="00501186">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bdr w:val="none" w:sz="0" w:space="0" w:color="auto"/>
          <w:lang w:val="lt-LT"/>
        </w:rPr>
      </w:pPr>
      <w:r w:rsidRPr="005A71D9">
        <w:rPr>
          <w:b/>
          <w:u w:val="single"/>
          <w:bdr w:val="none" w:sz="0" w:space="0" w:color="auto"/>
          <w:lang w:val="lt-LT"/>
        </w:rPr>
        <w:t>Lietuvos pozicija</w:t>
      </w:r>
      <w:r w:rsidRPr="00501186">
        <w:rPr>
          <w:bdr w:val="none" w:sz="0" w:space="0" w:color="auto"/>
          <w:lang w:val="lt-LT"/>
        </w:rPr>
        <w:t>.</w:t>
      </w:r>
      <w:r w:rsidR="00501186" w:rsidRPr="00501186">
        <w:rPr>
          <w:bdr w:val="none" w:sz="0" w:space="0" w:color="auto"/>
          <w:lang w:val="lt-LT"/>
        </w:rPr>
        <w:t xml:space="preserve"> </w:t>
      </w:r>
      <w:r w:rsidR="00191C42">
        <w:rPr>
          <w:bdr w:val="none" w:sz="0" w:space="0" w:color="auto"/>
          <w:lang w:val="lt-LT"/>
        </w:rPr>
        <w:t>Pozicija bus suformuluota gavus su šiuo klausimu susijusius dokumentus.</w:t>
      </w:r>
    </w:p>
    <w:p w:rsidR="008C41CD" w:rsidRPr="005A71D9"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rFonts w:eastAsia="Calibri"/>
          <w:b/>
          <w:bdr w:val="none" w:sz="0" w:space="0" w:color="auto"/>
          <w:lang w:val="lt-LT"/>
        </w:rPr>
      </w:pPr>
    </w:p>
    <w:p w:rsidR="00FE5121"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Pr>
          <w:b/>
          <w:color w:val="202124"/>
          <w:bdr w:val="none" w:sz="0" w:space="0" w:color="auto"/>
          <w:lang w:val="lt-LT"/>
        </w:rPr>
        <w:t xml:space="preserve">2. </w:t>
      </w:r>
      <w:r w:rsidR="00FE5121">
        <w:rPr>
          <w:b/>
          <w:color w:val="202124"/>
          <w:bdr w:val="none" w:sz="0" w:space="0" w:color="auto"/>
          <w:lang w:val="lt-LT"/>
        </w:rPr>
        <w:t>Ekonominės valdysenos peržiūra – euro zonos dimensija – pristatymas ir apsikeitimas nuom</w:t>
      </w:r>
      <w:r w:rsidR="00FE5121">
        <w:rPr>
          <w:b/>
          <w:color w:val="202124"/>
          <w:bdr w:val="none" w:sz="0" w:space="0" w:color="auto"/>
          <w:lang w:val="lt-LT"/>
        </w:rPr>
        <w:t>o</w:t>
      </w:r>
      <w:r w:rsidR="00FE5121">
        <w:rPr>
          <w:b/>
          <w:color w:val="202124"/>
          <w:bdr w:val="none" w:sz="0" w:space="0" w:color="auto"/>
          <w:lang w:val="lt-LT"/>
        </w:rPr>
        <w:t>nėmis</w:t>
      </w:r>
      <w:r w:rsidR="00FE5121" w:rsidRPr="00FE5121">
        <w:rPr>
          <w:b/>
          <w:color w:val="202124"/>
          <w:bdr w:val="none" w:sz="0" w:space="0" w:color="auto"/>
          <w:lang w:val="lt-LT"/>
        </w:rPr>
        <w:tab/>
      </w:r>
    </w:p>
    <w:p w:rsidR="00682383" w:rsidRDefault="005A71D9" w:rsidP="007327EE">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FE5121">
        <w:rPr>
          <w:bdr w:val="none" w:sz="0" w:space="0" w:color="auto"/>
          <w:lang w:val="lt-LT"/>
        </w:rPr>
        <w:t>Euro grupės posėdyje taip pat numatoma diskusija dėl ekonominės valdysenos remia</w:t>
      </w:r>
      <w:r w:rsidR="00FE5121">
        <w:rPr>
          <w:bdr w:val="none" w:sz="0" w:space="0" w:color="auto"/>
          <w:lang w:val="lt-LT"/>
        </w:rPr>
        <w:t>n</w:t>
      </w:r>
      <w:r w:rsidR="00FE5121">
        <w:rPr>
          <w:bdr w:val="none" w:sz="0" w:space="0" w:color="auto"/>
          <w:lang w:val="lt-LT"/>
        </w:rPr>
        <w:t xml:space="preserve">tis </w:t>
      </w:r>
      <w:r w:rsidR="00FE5121" w:rsidRPr="00FE5121">
        <w:rPr>
          <w:bdr w:val="none" w:sz="0" w:space="0" w:color="auto"/>
          <w:lang w:val="lt-LT"/>
        </w:rPr>
        <w:t xml:space="preserve">spalio 19 d. </w:t>
      </w:r>
      <w:r w:rsidR="00FE5121">
        <w:rPr>
          <w:bdr w:val="none" w:sz="0" w:space="0" w:color="auto"/>
          <w:lang w:val="lt-LT"/>
        </w:rPr>
        <w:t xml:space="preserve">EK </w:t>
      </w:r>
      <w:r w:rsidR="00FE5121" w:rsidRPr="00FE5121">
        <w:rPr>
          <w:bdr w:val="none" w:sz="0" w:space="0" w:color="auto"/>
          <w:lang w:val="lt-LT"/>
        </w:rPr>
        <w:t>Komu</w:t>
      </w:r>
      <w:r w:rsidR="00FE5121">
        <w:rPr>
          <w:bdr w:val="none" w:sz="0" w:space="0" w:color="auto"/>
          <w:lang w:val="lt-LT"/>
        </w:rPr>
        <w:t>nikatu</w:t>
      </w:r>
      <w:r w:rsidR="00FE5121" w:rsidRPr="00FE5121">
        <w:rPr>
          <w:bdr w:val="none" w:sz="0" w:space="0" w:color="auto"/>
          <w:lang w:val="lt-LT"/>
        </w:rPr>
        <w:t>,</w:t>
      </w:r>
      <w:r w:rsidR="00FE5121">
        <w:rPr>
          <w:bdr w:val="none" w:sz="0" w:space="0" w:color="auto"/>
          <w:lang w:val="lt-LT"/>
        </w:rPr>
        <w:t xml:space="preserve"> kuris bus aptariamas ir ECOFIN posėdyje. Euro grupės diskusijoje daugiau turėtų būti akcentuojama euro zonos dimensija fiskalinių taisyklių peržiūros kontekste.</w:t>
      </w:r>
    </w:p>
    <w:p w:rsidR="005A71D9" w:rsidRPr="00E52328" w:rsidRDefault="005A71D9" w:rsidP="001B199F">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hAnsi="Arial Unicode MS" w:cs="Arial Unicode MS"/>
          <w:color w:val="000000"/>
          <w:u w:color="000000"/>
          <w:bdr w:val="none" w:sz="0" w:space="0" w:color="auto"/>
          <w:lang w:val="lt-LT"/>
        </w:rPr>
      </w:pPr>
    </w:p>
    <w:p w:rsidR="005A71D9"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bdr w:val="none" w:sz="0" w:space="0" w:color="auto"/>
          <w:lang w:val="lt-LT"/>
        </w:rPr>
      </w:pPr>
      <w:r w:rsidRPr="00E52328">
        <w:rPr>
          <w:b/>
          <w:u w:val="single"/>
          <w:bdr w:val="none" w:sz="0" w:space="0" w:color="auto"/>
          <w:lang w:val="lt-LT"/>
        </w:rPr>
        <w:t>Lietuvos pozicija.</w:t>
      </w:r>
      <w:r w:rsidRPr="00E52328">
        <w:rPr>
          <w:b/>
          <w:bdr w:val="none" w:sz="0" w:space="0" w:color="auto"/>
          <w:lang w:val="lt-LT"/>
        </w:rPr>
        <w:t xml:space="preserve"> </w:t>
      </w:r>
      <w:r w:rsidR="007A362E" w:rsidRPr="00E8517B">
        <w:rPr>
          <w:bdr w:val="none" w:sz="0" w:space="0" w:color="auto"/>
          <w:lang w:val="lt-LT"/>
        </w:rPr>
        <w:t>Manome, kad diskusijose dėl ekonominės valdysenos peržiūros euro zonos dimens</w:t>
      </w:r>
      <w:r w:rsidR="007A362E" w:rsidRPr="00E8517B">
        <w:rPr>
          <w:bdr w:val="none" w:sz="0" w:space="0" w:color="auto"/>
          <w:lang w:val="lt-LT"/>
        </w:rPr>
        <w:t>i</w:t>
      </w:r>
      <w:r w:rsidR="007A362E" w:rsidRPr="00E8517B">
        <w:rPr>
          <w:bdr w:val="none" w:sz="0" w:space="0" w:color="auto"/>
          <w:lang w:val="lt-LT"/>
        </w:rPr>
        <w:t xml:space="preserve">jai turėtų </w:t>
      </w:r>
      <w:r w:rsidR="00E8517B" w:rsidRPr="00E8517B">
        <w:rPr>
          <w:bdr w:val="none" w:sz="0" w:space="0" w:color="auto"/>
          <w:lang w:val="lt-LT"/>
        </w:rPr>
        <w:t>būti skiriamas didelis dėmesys, nes šis procesas yra glaudžiai susijęs su</w:t>
      </w:r>
      <w:r w:rsidR="00E8517B">
        <w:rPr>
          <w:b/>
          <w:bdr w:val="none" w:sz="0" w:space="0" w:color="auto"/>
          <w:lang w:val="lt-LT"/>
        </w:rPr>
        <w:t xml:space="preserve"> </w:t>
      </w:r>
      <w:r w:rsidR="00E8517B" w:rsidRPr="00E8517B">
        <w:rPr>
          <w:bdr w:val="none" w:sz="0" w:space="0" w:color="auto"/>
          <w:lang w:val="lt-LT"/>
        </w:rPr>
        <w:t>fiskaliniu visos ES tvarumu.</w:t>
      </w:r>
      <w:r w:rsidR="00E8517B">
        <w:rPr>
          <w:bdr w:val="none" w:sz="0" w:space="0" w:color="auto"/>
          <w:lang w:val="lt-LT"/>
        </w:rPr>
        <w:t xml:space="preserve"> Ekonominės valdysenos sistemos supaprastinimas, didesnis skaidrumas bei sustiprintas įg</w:t>
      </w:r>
      <w:r w:rsidR="00E8517B">
        <w:rPr>
          <w:bdr w:val="none" w:sz="0" w:space="0" w:color="auto"/>
          <w:lang w:val="lt-LT"/>
        </w:rPr>
        <w:t>y</w:t>
      </w:r>
      <w:r w:rsidR="00E8517B">
        <w:rPr>
          <w:bdr w:val="none" w:sz="0" w:space="0" w:color="auto"/>
          <w:lang w:val="lt-LT"/>
        </w:rPr>
        <w:t>vendinimas ir atsakomybė turėtų būti esminiai peržiūros elementai. Siekiant efektyvaus fiskalinių ta</w:t>
      </w:r>
      <w:r w:rsidR="00E8517B">
        <w:rPr>
          <w:bdr w:val="none" w:sz="0" w:space="0" w:color="auto"/>
          <w:lang w:val="lt-LT"/>
        </w:rPr>
        <w:t>i</w:t>
      </w:r>
      <w:r w:rsidR="00E8517B">
        <w:rPr>
          <w:bdr w:val="none" w:sz="0" w:space="0" w:color="auto"/>
          <w:lang w:val="lt-LT"/>
        </w:rPr>
        <w:t>syklių įgyvendinimo, didelis dėmesys turėtų būti skiriamas Bankų sąjungos užbaigimui bei Kapitalo rinkų sąjungos plėtojimui. Siekiant geresnio ekonominės politikos koordinavimo e</w:t>
      </w:r>
      <w:r w:rsidR="004D5797">
        <w:rPr>
          <w:bdr w:val="none" w:sz="0" w:space="0" w:color="auto"/>
          <w:lang w:val="lt-LT"/>
        </w:rPr>
        <w:t>uro zonoje, labai svarbū</w:t>
      </w:r>
      <w:r w:rsidR="00E8517B">
        <w:rPr>
          <w:bdr w:val="none" w:sz="0" w:space="0" w:color="auto"/>
          <w:lang w:val="lt-LT"/>
        </w:rPr>
        <w:t>s instru</w:t>
      </w:r>
      <w:r w:rsidR="004D5797">
        <w:rPr>
          <w:bdr w:val="none" w:sz="0" w:space="0" w:color="auto"/>
          <w:lang w:val="lt-LT"/>
        </w:rPr>
        <w:t>mentai</w:t>
      </w:r>
      <w:r w:rsidR="00E8517B">
        <w:rPr>
          <w:bdr w:val="none" w:sz="0" w:space="0" w:color="auto"/>
          <w:lang w:val="lt-LT"/>
        </w:rPr>
        <w:t xml:space="preserve"> yra </w:t>
      </w:r>
      <w:proofErr w:type="spellStart"/>
      <w:r w:rsidR="00E8517B">
        <w:rPr>
          <w:bdr w:val="none" w:sz="0" w:space="0" w:color="auto"/>
          <w:lang w:val="lt-LT"/>
        </w:rPr>
        <w:t>Makroekominių</w:t>
      </w:r>
      <w:proofErr w:type="spellEnd"/>
      <w:r w:rsidR="00E8517B">
        <w:rPr>
          <w:bdr w:val="none" w:sz="0" w:space="0" w:color="auto"/>
          <w:lang w:val="lt-LT"/>
        </w:rPr>
        <w:t xml:space="preserve"> </w:t>
      </w:r>
      <w:proofErr w:type="spellStart"/>
      <w:r w:rsidR="00E8517B">
        <w:rPr>
          <w:bdr w:val="none" w:sz="0" w:space="0" w:color="auto"/>
          <w:lang w:val="lt-LT"/>
        </w:rPr>
        <w:t>disbalansų</w:t>
      </w:r>
      <w:proofErr w:type="spellEnd"/>
      <w:r w:rsidR="00E8517B">
        <w:rPr>
          <w:bdr w:val="none" w:sz="0" w:space="0" w:color="auto"/>
          <w:lang w:val="lt-LT"/>
        </w:rPr>
        <w:t xml:space="preserve"> procedūra (MIP), </w:t>
      </w:r>
      <w:r w:rsidR="004D5797">
        <w:rPr>
          <w:bdr w:val="none" w:sz="0" w:space="0" w:color="auto"/>
          <w:lang w:val="lt-LT"/>
        </w:rPr>
        <w:t>biudžeto planų derinimas ir euro zonos rekomendacijos.</w:t>
      </w:r>
    </w:p>
    <w:p w:rsidR="00E8517B" w:rsidRPr="00E8517B" w:rsidRDefault="004D5797" w:rsidP="00664A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bdr w:val="none" w:sz="0" w:space="0" w:color="auto"/>
          <w:lang w:val="lt-LT"/>
        </w:rPr>
      </w:pPr>
      <w:r>
        <w:rPr>
          <w:bdr w:val="none" w:sz="0" w:space="0" w:color="auto"/>
          <w:lang w:val="lt-LT"/>
        </w:rPr>
        <w:t>Kalbant apie diskusijų dėl ekonominės valdysenos procesą ir darbų planą, p</w:t>
      </w:r>
      <w:r w:rsidR="00E8517B">
        <w:rPr>
          <w:bdr w:val="none" w:sz="0" w:space="0" w:color="auto"/>
          <w:lang w:val="lt-LT"/>
        </w:rPr>
        <w:t>ritariame, kad diskusijos šiuo klausimu</w:t>
      </w:r>
      <w:r w:rsidR="0002395C">
        <w:rPr>
          <w:bdr w:val="none" w:sz="0" w:space="0" w:color="auto"/>
          <w:lang w:val="lt-LT"/>
        </w:rPr>
        <w:t>, kiek tai susiję su euro zonos dimensija,</w:t>
      </w:r>
      <w:r w:rsidR="00E8517B">
        <w:rPr>
          <w:bdr w:val="none" w:sz="0" w:space="0" w:color="auto"/>
          <w:lang w:val="lt-LT"/>
        </w:rPr>
        <w:t xml:space="preserve"> vykt</w:t>
      </w:r>
      <w:r w:rsidR="0002395C">
        <w:rPr>
          <w:bdr w:val="none" w:sz="0" w:space="0" w:color="auto"/>
          <w:lang w:val="lt-LT"/>
        </w:rPr>
        <w:t>ų</w:t>
      </w:r>
      <w:r w:rsidR="00E8517B">
        <w:rPr>
          <w:bdr w:val="none" w:sz="0" w:space="0" w:color="auto"/>
          <w:lang w:val="lt-LT"/>
        </w:rPr>
        <w:t xml:space="preserve"> euro grupės formate, tačiau svarbu užti</w:t>
      </w:r>
      <w:r w:rsidR="00E8517B">
        <w:rPr>
          <w:bdr w:val="none" w:sz="0" w:space="0" w:color="auto"/>
          <w:lang w:val="lt-LT"/>
        </w:rPr>
        <w:t>k</w:t>
      </w:r>
      <w:r w:rsidR="00E8517B">
        <w:rPr>
          <w:bdr w:val="none" w:sz="0" w:space="0" w:color="auto"/>
          <w:lang w:val="lt-LT"/>
        </w:rPr>
        <w:t>rinti tinkamą visų ES narių informavimą. Manome, kad diskusijos tokiais klausimais kaip fiskalinės ga</w:t>
      </w:r>
      <w:r w:rsidR="00E8517B">
        <w:rPr>
          <w:bdr w:val="none" w:sz="0" w:space="0" w:color="auto"/>
          <w:lang w:val="lt-LT"/>
        </w:rPr>
        <w:t>i</w:t>
      </w:r>
      <w:r w:rsidR="00E8517B">
        <w:rPr>
          <w:bdr w:val="none" w:sz="0" w:space="0" w:color="auto"/>
          <w:lang w:val="lt-LT"/>
        </w:rPr>
        <w:t>rės turėtų vykti Euro grupės išplėstiniame formate (EG+).</w:t>
      </w:r>
    </w:p>
    <w:p w:rsidR="007A362E" w:rsidRPr="00E8517B" w:rsidRDefault="007A362E" w:rsidP="007A362E">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u w:val="single"/>
          <w:bdr w:val="none" w:sz="0" w:space="0" w:color="auto"/>
        </w:rPr>
      </w:pPr>
    </w:p>
    <w:p w:rsidR="005A71D9" w:rsidRPr="005A71D9" w:rsidRDefault="00BD6C27"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Pr>
          <w:b/>
          <w:color w:val="202124"/>
          <w:bdr w:val="none" w:sz="0" w:space="0" w:color="auto"/>
          <w:lang w:val="lt-LT"/>
        </w:rPr>
        <w:t>3</w:t>
      </w:r>
      <w:r w:rsidR="008C41CD">
        <w:rPr>
          <w:b/>
          <w:color w:val="202124"/>
          <w:bdr w:val="none" w:sz="0" w:space="0" w:color="auto"/>
          <w:lang w:val="lt-LT"/>
        </w:rPr>
        <w:t xml:space="preserve">. </w:t>
      </w:r>
      <w:r w:rsidR="008927D7">
        <w:rPr>
          <w:b/>
          <w:color w:val="202124"/>
          <w:bdr w:val="none" w:sz="0" w:space="0" w:color="auto"/>
          <w:lang w:val="lt-LT"/>
        </w:rPr>
        <w:t>Skaitmeninis euras – politikos tikslai ir naudojimas</w:t>
      </w:r>
    </w:p>
    <w:p w:rsidR="00643B1A" w:rsidRPr="00643B1A" w:rsidRDefault="005A71D9" w:rsidP="00643B1A">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643B1A" w:rsidRPr="00643B1A">
        <w:rPr>
          <w:bdr w:val="none" w:sz="0" w:space="0" w:color="auto"/>
          <w:lang w:val="lt-LT"/>
        </w:rPr>
        <w:t>Ministrų lygmeniu ketinama aptarti skaitmeninio euro politikos tikslus ir panau</w:t>
      </w:r>
      <w:r w:rsidR="00643B1A">
        <w:rPr>
          <w:bdr w:val="none" w:sz="0" w:space="0" w:color="auto"/>
          <w:lang w:val="lt-LT"/>
        </w:rPr>
        <w:t xml:space="preserve">dojimo galimybes. </w:t>
      </w:r>
      <w:r w:rsidR="00643B1A" w:rsidRPr="00643B1A">
        <w:rPr>
          <w:bdr w:val="none" w:sz="0" w:space="0" w:color="auto"/>
          <w:lang w:val="lt-LT"/>
        </w:rPr>
        <w:t>Skaitmeninis euras yra vienas Euro grupės darbo programos prioritetų ir yra skirtas papild</w:t>
      </w:r>
      <w:r w:rsidR="00643B1A" w:rsidRPr="00643B1A">
        <w:rPr>
          <w:bdr w:val="none" w:sz="0" w:space="0" w:color="auto"/>
          <w:lang w:val="lt-LT"/>
        </w:rPr>
        <w:t>y</w:t>
      </w:r>
      <w:r w:rsidR="00643B1A" w:rsidRPr="00643B1A">
        <w:rPr>
          <w:bdr w:val="none" w:sz="0" w:space="0" w:color="auto"/>
          <w:lang w:val="lt-LT"/>
        </w:rPr>
        <w:t>ti, o ne pakeisti įprastą valiutą. Tikslas – aprūpinti pinigais kitokia forma, efektyvesne nei grynieji pin</w:t>
      </w:r>
      <w:r w:rsidR="00643B1A" w:rsidRPr="00643B1A">
        <w:rPr>
          <w:bdr w:val="none" w:sz="0" w:space="0" w:color="auto"/>
          <w:lang w:val="lt-LT"/>
        </w:rPr>
        <w:t>i</w:t>
      </w:r>
      <w:r w:rsidR="00643B1A" w:rsidRPr="00643B1A">
        <w:rPr>
          <w:bdr w:val="none" w:sz="0" w:space="0" w:color="auto"/>
          <w:lang w:val="lt-LT"/>
        </w:rPr>
        <w:t xml:space="preserve">gai ir įgalinančia teikti pigesnes paslaugas. </w:t>
      </w:r>
    </w:p>
    <w:p w:rsidR="005A72B9" w:rsidRPr="005A72B9" w:rsidRDefault="00643B1A" w:rsidP="00643B1A">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eastAsia="Calibri"/>
          <w:bdr w:val="none" w:sz="0" w:space="0" w:color="auto"/>
          <w:lang w:val="lt-LT"/>
        </w:rPr>
      </w:pPr>
      <w:r w:rsidRPr="00643B1A">
        <w:rPr>
          <w:bdr w:val="none" w:sz="0" w:space="0" w:color="auto"/>
          <w:lang w:val="lt-LT"/>
        </w:rPr>
        <w:t>Skaitmeninis euras pasiūlytų naują centrinio banko pinigų formą, pritaikytą skaitmeninei aplinkai. Taip būtų atsižvelgta į besikeičiančius vartotojų lūkesčius, technologines inovacijas, skatinama konkurenci</w:t>
      </w:r>
      <w:r w:rsidRPr="00643B1A">
        <w:rPr>
          <w:bdr w:val="none" w:sz="0" w:space="0" w:color="auto"/>
          <w:lang w:val="lt-LT"/>
        </w:rPr>
        <w:t>n</w:t>
      </w:r>
      <w:r w:rsidRPr="00643B1A">
        <w:rPr>
          <w:bdr w:val="none" w:sz="0" w:space="0" w:color="auto"/>
          <w:lang w:val="lt-LT"/>
        </w:rPr>
        <w:t xml:space="preserve">ga mokėjimų rinka, remiamas ekonomikos </w:t>
      </w:r>
      <w:proofErr w:type="spellStart"/>
      <w:r w:rsidRPr="00643B1A">
        <w:rPr>
          <w:bdr w:val="none" w:sz="0" w:space="0" w:color="auto"/>
          <w:lang w:val="lt-LT"/>
        </w:rPr>
        <w:t>skaitmeninimas</w:t>
      </w:r>
      <w:proofErr w:type="spellEnd"/>
      <w:r w:rsidRPr="00643B1A">
        <w:rPr>
          <w:bdr w:val="none" w:sz="0" w:space="0" w:color="auto"/>
          <w:lang w:val="lt-LT"/>
        </w:rPr>
        <w:t>. Skaitmeninio euro išleidimas taip pat yra svarbus siekiant stiprinti tarptautinį euro vaidmenį bei užtikrinant ES strateginės autonomijos tikslų įg</w:t>
      </w:r>
      <w:r w:rsidRPr="00643B1A">
        <w:rPr>
          <w:bdr w:val="none" w:sz="0" w:space="0" w:color="auto"/>
          <w:lang w:val="lt-LT"/>
        </w:rPr>
        <w:t>y</w:t>
      </w:r>
      <w:r w:rsidRPr="00643B1A">
        <w:rPr>
          <w:bdr w:val="none" w:sz="0" w:space="0" w:color="auto"/>
          <w:lang w:val="lt-LT"/>
        </w:rPr>
        <w:t>vendinimą. Ekonominė skaitmeninio euro nauda susijusi su prieiga prie paprastos, nebrangios, kred</w:t>
      </w:r>
      <w:r w:rsidRPr="00643B1A">
        <w:rPr>
          <w:bdr w:val="none" w:sz="0" w:space="0" w:color="auto"/>
          <w:lang w:val="lt-LT"/>
        </w:rPr>
        <w:t>i</w:t>
      </w:r>
      <w:r w:rsidRPr="00643B1A">
        <w:rPr>
          <w:bdr w:val="none" w:sz="0" w:space="0" w:color="auto"/>
          <w:lang w:val="lt-LT"/>
        </w:rPr>
        <w:t>to rizikos nekeliančios bei patikimos skaitmeninės mokėjimo priemonės, varto</w:t>
      </w:r>
      <w:r>
        <w:rPr>
          <w:bdr w:val="none" w:sz="0" w:space="0" w:color="auto"/>
          <w:lang w:val="lt-LT"/>
        </w:rPr>
        <w:t>jamos visoje euro zonoje. Tikima</w:t>
      </w:r>
      <w:r w:rsidRPr="00643B1A">
        <w:rPr>
          <w:bdr w:val="none" w:sz="0" w:space="0" w:color="auto"/>
          <w:lang w:val="lt-LT"/>
        </w:rPr>
        <w:t>si, kad skaitmeninis euras sustiprins bendrą ES mokėjimų rinką bei paskatins ES vidaus rinkos integracijos gilinimą laisvo prekių ir paslaugų judėjimo srityse.</w:t>
      </w:r>
    </w:p>
    <w:p w:rsidR="00704CBF" w:rsidRDefault="00704CBF" w:rsidP="00C70F7A">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highlight w:val="yellow"/>
          <w:u w:color="000000"/>
          <w:bdr w:val="none" w:sz="0" w:space="0" w:color="auto"/>
          <w:lang w:val="lt-LT"/>
        </w:rPr>
      </w:pPr>
    </w:p>
    <w:p w:rsidR="0054616A" w:rsidRPr="00E55B50" w:rsidRDefault="00410B36" w:rsidP="000B1D35">
      <w:pPr>
        <w:pBdr>
          <w:top w:val="single" w:sz="4" w:space="1" w:color="auto"/>
          <w:left w:val="single" w:sz="4" w:space="4" w:color="auto"/>
          <w:bottom w:val="single" w:sz="4" w:space="1" w:color="auto"/>
          <w:right w:val="single" w:sz="4" w:space="4" w:color="auto"/>
          <w:between w:val="none" w:sz="0" w:space="0" w:color="auto"/>
          <w:bar w:val="none" w:sz="0" w:color="auto"/>
        </w:pBdr>
        <w:jc w:val="both"/>
        <w:rPr>
          <w:lang w:val="lt-LT"/>
        </w:rPr>
      </w:pPr>
      <w:r w:rsidRPr="00E55B50">
        <w:rPr>
          <w:b/>
          <w:color w:val="000000"/>
          <w:u w:val="single"/>
          <w:bdr w:val="none" w:sz="0" w:space="0" w:color="auto"/>
          <w:lang w:val="lt-LT"/>
        </w:rPr>
        <w:t>Lietuvos pozicija:</w:t>
      </w:r>
      <w:r w:rsidRPr="00E55B50">
        <w:rPr>
          <w:lang w:val="lt-LT"/>
        </w:rPr>
        <w:t xml:space="preserve"> </w:t>
      </w:r>
      <w:r w:rsidR="00643B1A" w:rsidRPr="00643B1A">
        <w:rPr>
          <w:lang w:val="lt-LT"/>
        </w:rPr>
        <w:t>Pritariame tolimesnėms diskusijoms dėl skaitmeninio euro išleidimo atsižvelgiant į poveikį finansiniam stabilumui. 1) Sutinkame, kad skaitmeninis euras galėtų prisidėti prie Europos str</w:t>
      </w:r>
      <w:r w:rsidR="00643B1A" w:rsidRPr="00643B1A">
        <w:rPr>
          <w:lang w:val="lt-LT"/>
        </w:rPr>
        <w:t>a</w:t>
      </w:r>
      <w:r w:rsidR="00643B1A" w:rsidRPr="00643B1A">
        <w:rPr>
          <w:lang w:val="lt-LT"/>
        </w:rPr>
        <w:t>teginės autonomijos suteikdamas alternatyvą užsienio konkurentams, stiprinant ES vidaus rinką, suteiktų impulsą ES mokėjimų rinkos integracijos gilinimui ir skatintų konkurenciją. Taip pat padidintų euro patrauklumą ir vaidmenį tarptautinėse finansų rinkose. 2) Pasisakome už tai, kad sprendimas dėl skai</w:t>
      </w:r>
      <w:r w:rsidR="00643B1A" w:rsidRPr="00643B1A">
        <w:rPr>
          <w:lang w:val="lt-LT"/>
        </w:rPr>
        <w:t>t</w:t>
      </w:r>
      <w:r w:rsidR="00643B1A" w:rsidRPr="00643B1A">
        <w:rPr>
          <w:lang w:val="lt-LT"/>
        </w:rPr>
        <w:t>meninio euro dizaino turėtų būti atidžiai priimamas, kad būtų užtikrintas finansinis stabilumas, finansų sistemos vientisumas bei monetarinės politikos tiks</w:t>
      </w:r>
      <w:r w:rsidR="00643B1A">
        <w:rPr>
          <w:lang w:val="lt-LT"/>
        </w:rPr>
        <w:t xml:space="preserve">lai. 3) Sprendimas dėl skaitmeninio euro </w:t>
      </w:r>
      <w:r w:rsidR="00643B1A" w:rsidRPr="00643B1A">
        <w:rPr>
          <w:lang w:val="lt-LT"/>
        </w:rPr>
        <w:t>turėtų būti subalansuotas, užtikrinant duomenų ir vartotojų apsaugą bei atitikti pinigų plovimo prevencijos ir a</w:t>
      </w:r>
      <w:r w:rsidR="00643B1A" w:rsidRPr="00643B1A">
        <w:rPr>
          <w:lang w:val="lt-LT"/>
        </w:rPr>
        <w:t>p</w:t>
      </w:r>
      <w:r w:rsidR="00643B1A" w:rsidRPr="00643B1A">
        <w:rPr>
          <w:lang w:val="lt-LT"/>
        </w:rPr>
        <w:t xml:space="preserve">saugos nuo teroristų finansavimo reikalavimus. 4) Taip pat palaikome aktyvų ES vaidmenį, prisidedant prie tarptautinių iniciatyvų, kuriomis siekiama nustatyti bendrus techninius </w:t>
      </w:r>
      <w:r w:rsidR="00643B1A">
        <w:rPr>
          <w:lang w:val="lt-LT"/>
        </w:rPr>
        <w:t>centrinių bankų skaitmeninių valiutų (</w:t>
      </w:r>
      <w:r w:rsidR="00643B1A" w:rsidRPr="00643B1A">
        <w:rPr>
          <w:lang w:val="lt-LT"/>
        </w:rPr>
        <w:t>CBDC</w:t>
      </w:r>
      <w:r w:rsidR="00643B1A">
        <w:rPr>
          <w:lang w:val="lt-LT"/>
        </w:rPr>
        <w:t>)</w:t>
      </w:r>
      <w:r w:rsidR="00643B1A" w:rsidRPr="00643B1A">
        <w:rPr>
          <w:lang w:val="lt-LT"/>
        </w:rPr>
        <w:t xml:space="preserve"> standartus globaliu arba regioniniais lygmenimis, vystant CBDC sistemų tarpusavio </w:t>
      </w:r>
      <w:proofErr w:type="spellStart"/>
      <w:r w:rsidR="00643B1A" w:rsidRPr="00643B1A">
        <w:rPr>
          <w:lang w:val="lt-LT"/>
        </w:rPr>
        <w:t>sąveikumą</w:t>
      </w:r>
      <w:proofErr w:type="spellEnd"/>
      <w:r w:rsidR="00643B1A" w:rsidRPr="00643B1A">
        <w:rPr>
          <w:lang w:val="lt-LT"/>
        </w:rPr>
        <w:t>, palengvinant perlaidas tarptautiniuose sandoriuose bei stiprinant tarptautinės prekybos si</w:t>
      </w:r>
      <w:r w:rsidR="00643B1A" w:rsidRPr="00643B1A">
        <w:rPr>
          <w:lang w:val="lt-LT"/>
        </w:rPr>
        <w:t>s</w:t>
      </w:r>
      <w:r w:rsidR="00643B1A" w:rsidRPr="00643B1A">
        <w:rPr>
          <w:lang w:val="lt-LT"/>
        </w:rPr>
        <w:t>temą, siekiant išvengti valiutos keitimo rizikos, kylančios dėl alternatyvaus vieno (ar kelių) CBDC na</w:t>
      </w:r>
      <w:r w:rsidR="00643B1A" w:rsidRPr="00643B1A">
        <w:rPr>
          <w:lang w:val="lt-LT"/>
        </w:rPr>
        <w:t>u</w:t>
      </w:r>
      <w:r w:rsidR="00643B1A" w:rsidRPr="00643B1A">
        <w:rPr>
          <w:lang w:val="lt-LT"/>
        </w:rPr>
        <w:t>dojimo skirtingų valiutų jurisdikcijose. Manome, kad aktyvus ES įsitraukimas į diskusijas dėl CBDC standartų globaliu ar regioniniais lygmenimis padidintų ES globalią lyderystę ir įtaką tarpvalstybinėms mokėjimo sistemoms, duomenų apsaugos bei pinigų plovimo prevencijos standartų srityse.</w:t>
      </w:r>
    </w:p>
    <w:p w:rsidR="00BD6C27" w:rsidRDefault="00BD6C27" w:rsidP="000B1D35">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p>
    <w:p w:rsidR="004564E8" w:rsidRDefault="00BD6C27" w:rsidP="000B1D35">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lang w:val="lt-LT"/>
        </w:rPr>
      </w:pPr>
      <w:r w:rsidRPr="00202AB9">
        <w:rPr>
          <w:b/>
          <w:color w:val="000000"/>
          <w:u w:color="000000"/>
          <w:bdr w:val="none" w:sz="0" w:space="0" w:color="auto"/>
          <w:lang w:val="lt-LT"/>
        </w:rPr>
        <w:t xml:space="preserve">4. </w:t>
      </w:r>
      <w:r w:rsidR="004564E8">
        <w:rPr>
          <w:b/>
          <w:color w:val="000000"/>
          <w:u w:color="000000"/>
          <w:bdr w:val="none" w:sz="0" w:space="0" w:color="auto"/>
          <w:lang w:val="lt-LT"/>
        </w:rPr>
        <w:t>Bankų Sąjunga</w:t>
      </w:r>
    </w:p>
    <w:p w:rsidR="00402FF8" w:rsidRDefault="00BD6C27" w:rsidP="00486404">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4564E8" w:rsidRPr="004564E8">
        <w:rPr>
          <w:bdr w:val="none" w:sz="0" w:space="0" w:color="auto"/>
          <w:lang w:val="lt-LT"/>
        </w:rPr>
        <w:t>Įtrau</w:t>
      </w:r>
      <w:r w:rsidR="004564E8">
        <w:rPr>
          <w:bdr w:val="none" w:sz="0" w:space="0" w:color="auto"/>
          <w:lang w:val="lt-LT"/>
        </w:rPr>
        <w:t>kios sudėties Euro grupėje numat</w:t>
      </w:r>
      <w:r w:rsidR="004564E8" w:rsidRPr="004564E8">
        <w:rPr>
          <w:bdr w:val="none" w:sz="0" w:space="0" w:color="auto"/>
          <w:lang w:val="lt-LT"/>
        </w:rPr>
        <w:t>omos diskusijos</w:t>
      </w:r>
      <w:r w:rsidR="004564E8">
        <w:rPr>
          <w:bdr w:val="none" w:sz="0" w:space="0" w:color="auto"/>
          <w:lang w:val="lt-LT"/>
        </w:rPr>
        <w:t xml:space="preserve"> dėl Bankų sąjungos, kuriose bus pristatomas pasiektas progresas bei bankų sektoriaus tendencijos</w:t>
      </w:r>
      <w:r w:rsidR="00402FF8">
        <w:rPr>
          <w:bdr w:val="none" w:sz="0" w:space="0" w:color="auto"/>
          <w:lang w:val="lt-LT"/>
        </w:rPr>
        <w:t xml:space="preserve"> ir aptariama dabartinė </w:t>
      </w:r>
      <w:r w:rsidR="00402FF8" w:rsidRPr="00402FF8">
        <w:rPr>
          <w:bdr w:val="none" w:sz="0" w:space="0" w:color="auto"/>
          <w:lang w:val="lt-LT"/>
        </w:rPr>
        <w:t>situaciją, susij</w:t>
      </w:r>
      <w:r w:rsidR="00402FF8" w:rsidRPr="00402FF8">
        <w:rPr>
          <w:bdr w:val="none" w:sz="0" w:space="0" w:color="auto"/>
          <w:lang w:val="lt-LT"/>
        </w:rPr>
        <w:t>u</w:t>
      </w:r>
      <w:r w:rsidR="00402FF8">
        <w:rPr>
          <w:bdr w:val="none" w:sz="0" w:space="0" w:color="auto"/>
          <w:lang w:val="lt-LT"/>
        </w:rPr>
        <w:t>si</w:t>
      </w:r>
      <w:r w:rsidR="00402FF8" w:rsidRPr="00402FF8">
        <w:rPr>
          <w:bdr w:val="none" w:sz="0" w:space="0" w:color="auto"/>
          <w:lang w:val="lt-LT"/>
        </w:rPr>
        <w:t xml:space="preserve"> su Bendro pertvarkymo fondo bendros finansinio stabilumo stiprinimo priemonės sukūrimu.</w:t>
      </w:r>
    </w:p>
    <w:p w:rsidR="00486404" w:rsidRPr="00486404" w:rsidRDefault="00486404" w:rsidP="00486404">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486404">
        <w:rPr>
          <w:bdr w:val="none" w:sz="0" w:space="0" w:color="auto"/>
          <w:lang w:val="lt-LT"/>
        </w:rPr>
        <w:t xml:space="preserve">ECB priežiūros tarnyba, EK ir Bendroji pertvarkymo valdyba pristatys </w:t>
      </w:r>
      <w:r>
        <w:rPr>
          <w:bdr w:val="none" w:sz="0" w:space="0" w:color="auto"/>
          <w:lang w:val="lt-LT"/>
        </w:rPr>
        <w:t xml:space="preserve">svarbiausias 2021 m. </w:t>
      </w:r>
      <w:r w:rsidRPr="00486404">
        <w:rPr>
          <w:bdr w:val="none" w:sz="0" w:space="0" w:color="auto"/>
          <w:lang w:val="lt-LT"/>
        </w:rPr>
        <w:t xml:space="preserve">II </w:t>
      </w:r>
      <w:proofErr w:type="spellStart"/>
      <w:r w:rsidRPr="00486404">
        <w:rPr>
          <w:bdr w:val="none" w:sz="0" w:space="0" w:color="auto"/>
          <w:lang w:val="lt-LT"/>
        </w:rPr>
        <w:t>pusm</w:t>
      </w:r>
      <w:proofErr w:type="spellEnd"/>
      <w:r w:rsidRPr="00486404">
        <w:rPr>
          <w:bdr w:val="none" w:sz="0" w:space="0" w:color="auto"/>
          <w:lang w:val="lt-LT"/>
        </w:rPr>
        <w:t xml:space="preserve">. </w:t>
      </w:r>
      <w:proofErr w:type="spellStart"/>
      <w:r w:rsidRPr="00486404">
        <w:rPr>
          <w:bdr w:val="none" w:sz="0" w:space="0" w:color="auto"/>
          <w:lang w:val="lt-LT"/>
        </w:rPr>
        <w:t>rizikų</w:t>
      </w:r>
      <w:proofErr w:type="spellEnd"/>
      <w:r w:rsidRPr="00486404">
        <w:rPr>
          <w:bdr w:val="none" w:sz="0" w:space="0" w:color="auto"/>
          <w:lang w:val="lt-LT"/>
        </w:rPr>
        <w:t xml:space="preserve"> mažinimo </w:t>
      </w:r>
      <w:proofErr w:type="spellStart"/>
      <w:r w:rsidRPr="00486404">
        <w:rPr>
          <w:bdr w:val="none" w:sz="0" w:space="0" w:color="auto"/>
          <w:lang w:val="lt-LT"/>
        </w:rPr>
        <w:t>stebėsenos</w:t>
      </w:r>
      <w:proofErr w:type="spellEnd"/>
      <w:r w:rsidRPr="00486404">
        <w:rPr>
          <w:bdr w:val="none" w:sz="0" w:space="0" w:color="auto"/>
          <w:lang w:val="lt-LT"/>
        </w:rPr>
        <w:t xml:space="preserve"> ataskaitos (angl. </w:t>
      </w:r>
      <w:r w:rsidRPr="00191C42">
        <w:rPr>
          <w:i/>
          <w:bdr w:val="none" w:sz="0" w:space="0" w:color="auto"/>
          <w:lang w:val="lt-LT"/>
        </w:rPr>
        <w:t xml:space="preserve">risk </w:t>
      </w:r>
      <w:proofErr w:type="spellStart"/>
      <w:r w:rsidRPr="00191C42">
        <w:rPr>
          <w:i/>
          <w:bdr w:val="none" w:sz="0" w:space="0" w:color="auto"/>
          <w:lang w:val="lt-LT"/>
        </w:rPr>
        <w:t>reduction</w:t>
      </w:r>
      <w:proofErr w:type="spellEnd"/>
      <w:r w:rsidRPr="00191C42">
        <w:rPr>
          <w:i/>
          <w:bdr w:val="none" w:sz="0" w:space="0" w:color="auto"/>
          <w:lang w:val="lt-LT"/>
        </w:rPr>
        <w:t xml:space="preserve"> </w:t>
      </w:r>
      <w:proofErr w:type="spellStart"/>
      <w:r w:rsidRPr="00191C42">
        <w:rPr>
          <w:i/>
          <w:bdr w:val="none" w:sz="0" w:space="0" w:color="auto"/>
          <w:lang w:val="lt-LT"/>
        </w:rPr>
        <w:t>monitoring</w:t>
      </w:r>
      <w:proofErr w:type="spellEnd"/>
      <w:r w:rsidRPr="00191C42">
        <w:rPr>
          <w:i/>
          <w:bdr w:val="none" w:sz="0" w:space="0" w:color="auto"/>
          <w:lang w:val="lt-LT"/>
        </w:rPr>
        <w:t xml:space="preserve"> (RRM) </w:t>
      </w:r>
      <w:proofErr w:type="spellStart"/>
      <w:r w:rsidRPr="00191C42">
        <w:rPr>
          <w:i/>
          <w:bdr w:val="none" w:sz="0" w:space="0" w:color="auto"/>
          <w:lang w:val="lt-LT"/>
        </w:rPr>
        <w:t>report</w:t>
      </w:r>
      <w:proofErr w:type="spellEnd"/>
      <w:r w:rsidRPr="00486404">
        <w:rPr>
          <w:bdr w:val="none" w:sz="0" w:space="0" w:color="auto"/>
          <w:lang w:val="lt-LT"/>
        </w:rPr>
        <w:t>) žinutes. Ataska</w:t>
      </w:r>
      <w:r w:rsidRPr="00486404">
        <w:rPr>
          <w:bdr w:val="none" w:sz="0" w:space="0" w:color="auto"/>
          <w:lang w:val="lt-LT"/>
        </w:rPr>
        <w:t>i</w:t>
      </w:r>
      <w:r w:rsidRPr="00486404">
        <w:rPr>
          <w:bdr w:val="none" w:sz="0" w:space="0" w:color="auto"/>
          <w:lang w:val="lt-LT"/>
        </w:rPr>
        <w:t>tos tikslas – teikti reguliarų rizikos mažinimo pažangos vertinimą Bankų sąjungoje, siekiant užbaigti Europos stabilumo mechanizmo reformą ir ankstyvą galutinės užtikrinimo priemo</w:t>
      </w:r>
      <w:r>
        <w:rPr>
          <w:bdr w:val="none" w:sz="0" w:space="0" w:color="auto"/>
          <w:lang w:val="lt-LT"/>
        </w:rPr>
        <w:t xml:space="preserve">nės (angl. </w:t>
      </w:r>
      <w:proofErr w:type="spellStart"/>
      <w:r>
        <w:rPr>
          <w:bdr w:val="none" w:sz="0" w:space="0" w:color="auto"/>
          <w:lang w:val="lt-LT"/>
        </w:rPr>
        <w:t>backstop</w:t>
      </w:r>
      <w:proofErr w:type="spellEnd"/>
      <w:r>
        <w:rPr>
          <w:bdr w:val="none" w:sz="0" w:space="0" w:color="auto"/>
          <w:lang w:val="lt-LT"/>
        </w:rPr>
        <w:t>) įvedimą.</w:t>
      </w:r>
      <w:r w:rsidR="00402FF8">
        <w:rPr>
          <w:bdr w:val="none" w:sz="0" w:space="0" w:color="auto"/>
          <w:lang w:val="lt-LT"/>
        </w:rPr>
        <w:t xml:space="preserve"> </w:t>
      </w:r>
      <w:r w:rsidRPr="00486404">
        <w:rPr>
          <w:bdr w:val="none" w:sz="0" w:space="0" w:color="auto"/>
          <w:lang w:val="lt-LT"/>
        </w:rPr>
        <w:t>Pagrindinės ataskaitos žinutės:</w:t>
      </w:r>
    </w:p>
    <w:p w:rsidR="00486404" w:rsidRPr="00486404" w:rsidRDefault="00486404" w:rsidP="00486404">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142"/>
        </w:tabs>
        <w:jc w:val="both"/>
        <w:rPr>
          <w:bdr w:val="none" w:sz="0" w:space="0" w:color="auto"/>
          <w:lang w:val="lt-LT"/>
        </w:rPr>
      </w:pPr>
      <w:r w:rsidRPr="00486404">
        <w:rPr>
          <w:bdr w:val="none" w:sz="0" w:space="0" w:color="auto"/>
          <w:lang w:val="lt-LT"/>
        </w:rPr>
        <w:t>•</w:t>
      </w:r>
      <w:r w:rsidRPr="00486404">
        <w:rPr>
          <w:bdr w:val="none" w:sz="0" w:space="0" w:color="auto"/>
          <w:lang w:val="lt-LT"/>
        </w:rPr>
        <w:tab/>
        <w:t xml:space="preserve">2021 m. II </w:t>
      </w:r>
      <w:proofErr w:type="spellStart"/>
      <w:r w:rsidRPr="00486404">
        <w:rPr>
          <w:bdr w:val="none" w:sz="0" w:space="0" w:color="auto"/>
          <w:lang w:val="lt-LT"/>
        </w:rPr>
        <w:t>ketv</w:t>
      </w:r>
      <w:proofErr w:type="spellEnd"/>
      <w:r w:rsidRPr="00486404">
        <w:rPr>
          <w:bdr w:val="none" w:sz="0" w:space="0" w:color="auto"/>
          <w:lang w:val="lt-LT"/>
        </w:rPr>
        <w:t>. bankų kapitalo ir sverto pozicijos išlieka stabilios, likvidumo pozicijos toliau gerėja, neveiksnių paskolų santykis mažėja.</w:t>
      </w:r>
      <w:bookmarkStart w:id="0" w:name="_GoBack"/>
      <w:bookmarkEnd w:id="0"/>
    </w:p>
    <w:p w:rsidR="00486404" w:rsidRPr="00486404" w:rsidRDefault="00486404" w:rsidP="00486404">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142"/>
        </w:tabs>
        <w:jc w:val="both"/>
        <w:rPr>
          <w:bdr w:val="none" w:sz="0" w:space="0" w:color="auto"/>
          <w:lang w:val="lt-LT"/>
        </w:rPr>
      </w:pPr>
      <w:r w:rsidRPr="00486404">
        <w:rPr>
          <w:bdr w:val="none" w:sz="0" w:space="0" w:color="auto"/>
          <w:lang w:val="lt-LT"/>
        </w:rPr>
        <w:t>•</w:t>
      </w:r>
      <w:r w:rsidRPr="00486404">
        <w:rPr>
          <w:bdr w:val="none" w:sz="0" w:space="0" w:color="auto"/>
          <w:lang w:val="lt-LT"/>
        </w:rPr>
        <w:tab/>
        <w:t xml:space="preserve">COVID-19 pandemijos įtaka </w:t>
      </w:r>
      <w:proofErr w:type="spellStart"/>
      <w:r w:rsidRPr="00486404">
        <w:rPr>
          <w:bdr w:val="none" w:sz="0" w:space="0" w:color="auto"/>
          <w:lang w:val="lt-LT"/>
        </w:rPr>
        <w:t>sistemiškai</w:t>
      </w:r>
      <w:proofErr w:type="spellEnd"/>
      <w:r w:rsidRPr="00486404">
        <w:rPr>
          <w:bdr w:val="none" w:sz="0" w:space="0" w:color="auto"/>
          <w:lang w:val="lt-LT"/>
        </w:rPr>
        <w:t xml:space="preserve"> svarbių bankų balansuose kol kas atsispindi tik iš dalies, nes dar nėra pasibaigusios valstybių teikiamos pagalbos priemonės.</w:t>
      </w:r>
      <w:r w:rsidR="00402FF8" w:rsidRPr="00402FF8">
        <w:t xml:space="preserve"> </w:t>
      </w:r>
      <w:proofErr w:type="spellStart"/>
      <w:proofErr w:type="gramStart"/>
      <w:r w:rsidR="00402FF8">
        <w:t>Bendrasis</w:t>
      </w:r>
      <w:proofErr w:type="spellEnd"/>
      <w:r w:rsidR="00402FF8">
        <w:t xml:space="preserve"> </w:t>
      </w:r>
      <w:r w:rsidR="00402FF8">
        <w:rPr>
          <w:bdr w:val="none" w:sz="0" w:space="0" w:color="auto"/>
          <w:lang w:val="lt-LT"/>
        </w:rPr>
        <w:t>n</w:t>
      </w:r>
      <w:r w:rsidR="00402FF8" w:rsidRPr="00402FF8">
        <w:rPr>
          <w:bdr w:val="none" w:sz="0" w:space="0" w:color="auto"/>
          <w:lang w:val="lt-LT"/>
        </w:rPr>
        <w:t>eveiksnių paskolų (</w:t>
      </w:r>
      <w:r w:rsidR="00402FF8">
        <w:rPr>
          <w:bdr w:val="none" w:sz="0" w:space="0" w:color="auto"/>
          <w:lang w:val="lt-LT"/>
        </w:rPr>
        <w:t xml:space="preserve">NPL) </w:t>
      </w:r>
      <w:r w:rsidR="00402FF8" w:rsidRPr="00402FF8">
        <w:rPr>
          <w:bdr w:val="none" w:sz="0" w:space="0" w:color="auto"/>
          <w:lang w:val="lt-LT"/>
        </w:rPr>
        <w:t>rodik</w:t>
      </w:r>
      <w:r w:rsidR="00402FF8">
        <w:rPr>
          <w:bdr w:val="none" w:sz="0" w:space="0" w:color="auto"/>
          <w:lang w:val="lt-LT"/>
        </w:rPr>
        <w:t xml:space="preserve">lis </w:t>
      </w:r>
      <w:r w:rsidR="00402FF8" w:rsidRPr="00402FF8">
        <w:rPr>
          <w:bdr w:val="none" w:sz="0" w:space="0" w:color="auto"/>
          <w:lang w:val="lt-LT"/>
        </w:rPr>
        <w:t>toliau mažėjo ir 2021 m.</w:t>
      </w:r>
      <w:proofErr w:type="gramEnd"/>
      <w:r w:rsidR="00402FF8" w:rsidRPr="00402FF8">
        <w:rPr>
          <w:bdr w:val="none" w:sz="0" w:space="0" w:color="auto"/>
          <w:lang w:val="lt-LT"/>
        </w:rPr>
        <w:t xml:space="preserve"> I </w:t>
      </w:r>
      <w:proofErr w:type="spellStart"/>
      <w:r w:rsidR="00402FF8" w:rsidRPr="00402FF8">
        <w:rPr>
          <w:bdr w:val="none" w:sz="0" w:space="0" w:color="auto"/>
          <w:lang w:val="lt-LT"/>
        </w:rPr>
        <w:t>pusm</w:t>
      </w:r>
      <w:proofErr w:type="spellEnd"/>
      <w:r w:rsidR="00402FF8" w:rsidRPr="00402FF8">
        <w:rPr>
          <w:bdr w:val="none" w:sz="0" w:space="0" w:color="auto"/>
          <w:lang w:val="lt-LT"/>
        </w:rPr>
        <w:t>. siekė 2,3 proc. (2</w:t>
      </w:r>
      <w:r w:rsidR="00402FF8">
        <w:rPr>
          <w:bdr w:val="none" w:sz="0" w:space="0" w:color="auto"/>
          <w:lang w:val="lt-LT"/>
        </w:rPr>
        <w:t xml:space="preserve">020 m. II </w:t>
      </w:r>
      <w:proofErr w:type="spellStart"/>
      <w:r w:rsidR="00402FF8">
        <w:rPr>
          <w:bdr w:val="none" w:sz="0" w:space="0" w:color="auto"/>
          <w:lang w:val="lt-LT"/>
        </w:rPr>
        <w:t>ketv</w:t>
      </w:r>
      <w:proofErr w:type="spellEnd"/>
      <w:r w:rsidR="00402FF8">
        <w:rPr>
          <w:bdr w:val="none" w:sz="0" w:space="0" w:color="auto"/>
          <w:lang w:val="lt-LT"/>
        </w:rPr>
        <w:t>. buvo 2,9 proc.).</w:t>
      </w:r>
      <w:r w:rsidR="00402FF8" w:rsidRPr="00402FF8">
        <w:rPr>
          <w:bdr w:val="none" w:sz="0" w:space="0" w:color="auto"/>
          <w:lang w:val="lt-LT"/>
        </w:rPr>
        <w:t xml:space="preserve"> Paskolų, k</w:t>
      </w:r>
      <w:r w:rsidR="00402FF8" w:rsidRPr="00402FF8">
        <w:rPr>
          <w:bdr w:val="none" w:sz="0" w:space="0" w:color="auto"/>
          <w:lang w:val="lt-LT"/>
        </w:rPr>
        <w:t>u</w:t>
      </w:r>
      <w:r w:rsidR="00402FF8" w:rsidRPr="00402FF8">
        <w:rPr>
          <w:bdr w:val="none" w:sz="0" w:space="0" w:color="auto"/>
          <w:lang w:val="lt-LT"/>
        </w:rPr>
        <w:t>rioms taikomi moratoriumai ar kitos pagalbos priemonės, kiekis 2021 m. toliau mažėjo.</w:t>
      </w:r>
    </w:p>
    <w:p w:rsidR="00202AB9" w:rsidRDefault="00486404" w:rsidP="00486404">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142"/>
        </w:tabs>
        <w:jc w:val="both"/>
        <w:rPr>
          <w:bdr w:val="none" w:sz="0" w:space="0" w:color="auto"/>
          <w:lang w:val="lt-LT"/>
        </w:rPr>
      </w:pPr>
      <w:r w:rsidRPr="00486404">
        <w:rPr>
          <w:bdr w:val="none" w:sz="0" w:space="0" w:color="auto"/>
          <w:lang w:val="lt-LT"/>
        </w:rPr>
        <w:t>•</w:t>
      </w:r>
      <w:r w:rsidRPr="00486404">
        <w:rPr>
          <w:bdr w:val="none" w:sz="0" w:space="0" w:color="auto"/>
          <w:lang w:val="lt-LT"/>
        </w:rPr>
        <w:tab/>
        <w:t xml:space="preserve">2020 IV </w:t>
      </w:r>
      <w:proofErr w:type="spellStart"/>
      <w:r w:rsidRPr="00486404">
        <w:rPr>
          <w:bdr w:val="none" w:sz="0" w:space="0" w:color="auto"/>
          <w:lang w:val="lt-LT"/>
        </w:rPr>
        <w:t>ketv</w:t>
      </w:r>
      <w:proofErr w:type="spellEnd"/>
      <w:r w:rsidRPr="00486404">
        <w:rPr>
          <w:bdr w:val="none" w:sz="0" w:space="0" w:color="auto"/>
          <w:lang w:val="lt-LT"/>
        </w:rPr>
        <w:t xml:space="preserve">. vidutinis minimalus nuosavų lėšų ir tinkamų įsipareigojimų reikalavimo (angl. </w:t>
      </w:r>
      <w:proofErr w:type="spellStart"/>
      <w:r w:rsidRPr="00486404">
        <w:rPr>
          <w:i/>
          <w:bdr w:val="none" w:sz="0" w:space="0" w:color="auto"/>
          <w:lang w:val="lt-LT"/>
        </w:rPr>
        <w:t>minimum</w:t>
      </w:r>
      <w:proofErr w:type="spellEnd"/>
      <w:r w:rsidRPr="00486404">
        <w:rPr>
          <w:i/>
          <w:bdr w:val="none" w:sz="0" w:space="0" w:color="auto"/>
          <w:lang w:val="lt-LT"/>
        </w:rPr>
        <w:t xml:space="preserve"> </w:t>
      </w:r>
      <w:proofErr w:type="spellStart"/>
      <w:r w:rsidRPr="00486404">
        <w:rPr>
          <w:i/>
          <w:bdr w:val="none" w:sz="0" w:space="0" w:color="auto"/>
          <w:lang w:val="lt-LT"/>
        </w:rPr>
        <w:t>requirement</w:t>
      </w:r>
      <w:proofErr w:type="spellEnd"/>
      <w:r w:rsidRPr="00486404">
        <w:rPr>
          <w:i/>
          <w:bdr w:val="none" w:sz="0" w:space="0" w:color="auto"/>
          <w:lang w:val="lt-LT"/>
        </w:rPr>
        <w:t xml:space="preserve"> </w:t>
      </w:r>
      <w:proofErr w:type="spellStart"/>
      <w:r w:rsidRPr="00486404">
        <w:rPr>
          <w:i/>
          <w:bdr w:val="none" w:sz="0" w:space="0" w:color="auto"/>
          <w:lang w:val="lt-LT"/>
        </w:rPr>
        <w:t>for</w:t>
      </w:r>
      <w:proofErr w:type="spellEnd"/>
      <w:r w:rsidRPr="00486404">
        <w:rPr>
          <w:i/>
          <w:bdr w:val="none" w:sz="0" w:space="0" w:color="auto"/>
          <w:lang w:val="lt-LT"/>
        </w:rPr>
        <w:t xml:space="preserve"> </w:t>
      </w:r>
      <w:proofErr w:type="spellStart"/>
      <w:r w:rsidRPr="00486404">
        <w:rPr>
          <w:i/>
          <w:bdr w:val="none" w:sz="0" w:space="0" w:color="auto"/>
          <w:lang w:val="lt-LT"/>
        </w:rPr>
        <w:t>own</w:t>
      </w:r>
      <w:proofErr w:type="spellEnd"/>
      <w:r w:rsidRPr="00486404">
        <w:rPr>
          <w:i/>
          <w:bdr w:val="none" w:sz="0" w:space="0" w:color="auto"/>
          <w:lang w:val="lt-LT"/>
        </w:rPr>
        <w:t xml:space="preserve"> </w:t>
      </w:r>
      <w:proofErr w:type="spellStart"/>
      <w:r w:rsidRPr="00486404">
        <w:rPr>
          <w:i/>
          <w:bdr w:val="none" w:sz="0" w:space="0" w:color="auto"/>
          <w:lang w:val="lt-LT"/>
        </w:rPr>
        <w:t>funds</w:t>
      </w:r>
      <w:proofErr w:type="spellEnd"/>
      <w:r w:rsidRPr="00486404">
        <w:rPr>
          <w:i/>
          <w:bdr w:val="none" w:sz="0" w:space="0" w:color="auto"/>
          <w:lang w:val="lt-LT"/>
        </w:rPr>
        <w:t xml:space="preserve"> </w:t>
      </w:r>
      <w:proofErr w:type="spellStart"/>
      <w:r w:rsidRPr="00486404">
        <w:rPr>
          <w:i/>
          <w:bdr w:val="none" w:sz="0" w:space="0" w:color="auto"/>
          <w:lang w:val="lt-LT"/>
        </w:rPr>
        <w:t>and</w:t>
      </w:r>
      <w:proofErr w:type="spellEnd"/>
      <w:r w:rsidRPr="00486404">
        <w:rPr>
          <w:i/>
          <w:bdr w:val="none" w:sz="0" w:space="0" w:color="auto"/>
          <w:lang w:val="lt-LT"/>
        </w:rPr>
        <w:t xml:space="preserve"> </w:t>
      </w:r>
      <w:proofErr w:type="spellStart"/>
      <w:r w:rsidRPr="00486404">
        <w:rPr>
          <w:i/>
          <w:bdr w:val="none" w:sz="0" w:space="0" w:color="auto"/>
          <w:lang w:val="lt-LT"/>
        </w:rPr>
        <w:t>eligible</w:t>
      </w:r>
      <w:proofErr w:type="spellEnd"/>
      <w:r w:rsidRPr="00486404">
        <w:rPr>
          <w:i/>
          <w:bdr w:val="none" w:sz="0" w:space="0" w:color="auto"/>
          <w:lang w:val="lt-LT"/>
        </w:rPr>
        <w:t xml:space="preserve"> </w:t>
      </w:r>
      <w:proofErr w:type="spellStart"/>
      <w:r w:rsidRPr="00486404">
        <w:rPr>
          <w:i/>
          <w:bdr w:val="none" w:sz="0" w:space="0" w:color="auto"/>
          <w:lang w:val="lt-LT"/>
        </w:rPr>
        <w:t>liabilities</w:t>
      </w:r>
      <w:proofErr w:type="spellEnd"/>
      <w:r w:rsidRPr="00486404">
        <w:rPr>
          <w:bdr w:val="none" w:sz="0" w:space="0" w:color="auto"/>
          <w:lang w:val="lt-LT"/>
        </w:rPr>
        <w:t xml:space="preserve">, MREL) trūkumas sumažėjo, lyginant su 2019 m. IV </w:t>
      </w:r>
      <w:proofErr w:type="spellStart"/>
      <w:r w:rsidRPr="00486404">
        <w:rPr>
          <w:bdr w:val="none" w:sz="0" w:space="0" w:color="auto"/>
          <w:lang w:val="lt-LT"/>
        </w:rPr>
        <w:t>ketv</w:t>
      </w:r>
      <w:proofErr w:type="spellEnd"/>
      <w:r w:rsidRPr="00486404">
        <w:rPr>
          <w:bdr w:val="none" w:sz="0" w:space="0" w:color="auto"/>
          <w:lang w:val="lt-LT"/>
        </w:rPr>
        <w:t>., dėl tinkamų instrumentų padidėjimo.</w:t>
      </w:r>
    </w:p>
    <w:p w:rsidR="00402FF8" w:rsidRDefault="00402FF8" w:rsidP="00486404">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142"/>
        </w:tabs>
        <w:jc w:val="both"/>
        <w:rPr>
          <w:bdr w:val="none" w:sz="0" w:space="0" w:color="auto"/>
          <w:lang w:val="lt-LT"/>
        </w:rPr>
      </w:pPr>
      <w:r w:rsidRPr="00402FF8">
        <w:rPr>
          <w:bdr w:val="none" w:sz="0" w:space="0" w:color="auto"/>
          <w:lang w:val="lt-LT"/>
        </w:rPr>
        <w:t>Siekiant dar labiau sustiprinti Bankų Sąjungą, ES valstybės narės 2013 m. susitarė dėl bendros finans</w:t>
      </w:r>
      <w:r w:rsidRPr="00402FF8">
        <w:rPr>
          <w:bdr w:val="none" w:sz="0" w:space="0" w:color="auto"/>
          <w:lang w:val="lt-LT"/>
        </w:rPr>
        <w:t>i</w:t>
      </w:r>
      <w:r w:rsidRPr="00402FF8">
        <w:rPr>
          <w:bdr w:val="none" w:sz="0" w:space="0" w:color="auto"/>
          <w:lang w:val="lt-LT"/>
        </w:rPr>
        <w:t xml:space="preserve">nio stabilumo stiprinimo priemonės Bendram pertvarkymo fondui (toliau – </w:t>
      </w:r>
      <w:proofErr w:type="spellStart"/>
      <w:r w:rsidRPr="00402FF8">
        <w:rPr>
          <w:i/>
          <w:bdr w:val="none" w:sz="0" w:space="0" w:color="auto"/>
          <w:lang w:val="lt-LT"/>
        </w:rPr>
        <w:t>Common</w:t>
      </w:r>
      <w:proofErr w:type="spellEnd"/>
      <w:r w:rsidRPr="00402FF8">
        <w:rPr>
          <w:i/>
          <w:bdr w:val="none" w:sz="0" w:space="0" w:color="auto"/>
          <w:lang w:val="lt-LT"/>
        </w:rPr>
        <w:t xml:space="preserve"> </w:t>
      </w:r>
      <w:proofErr w:type="spellStart"/>
      <w:r w:rsidRPr="00402FF8">
        <w:rPr>
          <w:i/>
          <w:bdr w:val="none" w:sz="0" w:space="0" w:color="auto"/>
          <w:lang w:val="lt-LT"/>
        </w:rPr>
        <w:t>backstop</w:t>
      </w:r>
      <w:proofErr w:type="spellEnd"/>
      <w:r w:rsidRPr="00402FF8">
        <w:rPr>
          <w:bdr w:val="none" w:sz="0" w:space="0" w:color="auto"/>
          <w:lang w:val="lt-LT"/>
        </w:rPr>
        <w:t>) sukūr</w:t>
      </w:r>
      <w:r w:rsidRPr="00402FF8">
        <w:rPr>
          <w:bdr w:val="none" w:sz="0" w:space="0" w:color="auto"/>
          <w:lang w:val="lt-LT"/>
        </w:rPr>
        <w:t>i</w:t>
      </w:r>
      <w:r w:rsidRPr="00402FF8">
        <w:rPr>
          <w:bdr w:val="none" w:sz="0" w:space="0" w:color="auto"/>
          <w:lang w:val="lt-LT"/>
        </w:rPr>
        <w:t>mo, numatant, kad jis turėtų pradėti veikti vėliausiai Bendro pertvarkymo fondo tikslinio lygio suka</w:t>
      </w:r>
      <w:r w:rsidRPr="00402FF8">
        <w:rPr>
          <w:bdr w:val="none" w:sz="0" w:space="0" w:color="auto"/>
          <w:lang w:val="lt-LT"/>
        </w:rPr>
        <w:t>u</w:t>
      </w:r>
      <w:r w:rsidRPr="00402FF8">
        <w:rPr>
          <w:bdr w:val="none" w:sz="0" w:space="0" w:color="auto"/>
          <w:lang w:val="lt-LT"/>
        </w:rPr>
        <w:lastRenderedPageBreak/>
        <w:t>pimo pereinamojo laikotarpio pabaigoje, t. y. 2023 m. pabaigoje. Tačiau 2020 m. lapkričio 30 d. posėd</w:t>
      </w:r>
      <w:r w:rsidRPr="00402FF8">
        <w:rPr>
          <w:bdr w:val="none" w:sz="0" w:space="0" w:color="auto"/>
          <w:lang w:val="lt-LT"/>
        </w:rPr>
        <w:t>y</w:t>
      </w:r>
      <w:r w:rsidRPr="00402FF8">
        <w:rPr>
          <w:bdr w:val="none" w:sz="0" w:space="0" w:color="auto"/>
          <w:lang w:val="lt-LT"/>
        </w:rPr>
        <w:t xml:space="preserve">je, įvertinus, kad padaryta pakankama pažanga mažinant riziką bankų sektoriuje, Euro grupė nusprendė pradėti taikyti </w:t>
      </w:r>
      <w:proofErr w:type="spellStart"/>
      <w:r w:rsidRPr="00402FF8">
        <w:rPr>
          <w:i/>
          <w:bdr w:val="none" w:sz="0" w:space="0" w:color="auto"/>
          <w:lang w:val="lt-LT"/>
        </w:rPr>
        <w:t>Common</w:t>
      </w:r>
      <w:proofErr w:type="spellEnd"/>
      <w:r w:rsidRPr="00402FF8">
        <w:rPr>
          <w:i/>
          <w:bdr w:val="none" w:sz="0" w:space="0" w:color="auto"/>
          <w:lang w:val="lt-LT"/>
        </w:rPr>
        <w:t xml:space="preserve"> </w:t>
      </w:r>
      <w:proofErr w:type="spellStart"/>
      <w:r w:rsidRPr="00402FF8">
        <w:rPr>
          <w:i/>
          <w:bdr w:val="none" w:sz="0" w:space="0" w:color="auto"/>
          <w:lang w:val="lt-LT"/>
        </w:rPr>
        <w:t>Backstop</w:t>
      </w:r>
      <w:proofErr w:type="spellEnd"/>
      <w:r w:rsidRPr="00402FF8">
        <w:rPr>
          <w:bdr w:val="none" w:sz="0" w:space="0" w:color="auto"/>
          <w:lang w:val="lt-LT"/>
        </w:rPr>
        <w:t xml:space="preserve"> nuo 2022 m. pradžios.</w:t>
      </w:r>
    </w:p>
    <w:p w:rsidR="00402FF8" w:rsidRPr="00202AB9" w:rsidRDefault="00402FF8" w:rsidP="00486404">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142"/>
        </w:tabs>
        <w:jc w:val="both"/>
        <w:rPr>
          <w:bdr w:val="none" w:sz="0" w:space="0" w:color="auto"/>
          <w:lang w:val="lt-LT"/>
        </w:rPr>
      </w:pPr>
      <w:r w:rsidRPr="00402FF8">
        <w:rPr>
          <w:bdr w:val="none" w:sz="0" w:space="0" w:color="auto"/>
          <w:lang w:val="lt-LT"/>
        </w:rPr>
        <w:t>2020 m. lapkričio mėn. Euro grupės susitikime valstybės narės įsipareigojo kuo greičiau užbaigti ESM steigimo sutarties ir Tarpvyriausybinio susitarimo dėl įnašų į Bendrą pertvarkymo fondą pervedimo ir sujungimo (toliau kartu – sutartys) pakeitimų ratifikavimo procesą, kad nuo 2022 m. pradžios būtų pr</w:t>
      </w:r>
      <w:r w:rsidRPr="00402FF8">
        <w:rPr>
          <w:bdr w:val="none" w:sz="0" w:space="0" w:color="auto"/>
          <w:lang w:val="lt-LT"/>
        </w:rPr>
        <w:t>a</w:t>
      </w:r>
      <w:r w:rsidRPr="00402FF8">
        <w:rPr>
          <w:bdr w:val="none" w:sz="0" w:space="0" w:color="auto"/>
          <w:lang w:val="lt-LT"/>
        </w:rPr>
        <w:t xml:space="preserve">dėta taikyti </w:t>
      </w:r>
      <w:proofErr w:type="spellStart"/>
      <w:r w:rsidRPr="00402FF8">
        <w:rPr>
          <w:i/>
          <w:bdr w:val="none" w:sz="0" w:space="0" w:color="auto"/>
          <w:lang w:val="lt-LT"/>
        </w:rPr>
        <w:t>Common</w:t>
      </w:r>
      <w:proofErr w:type="spellEnd"/>
      <w:r w:rsidRPr="00402FF8">
        <w:rPr>
          <w:i/>
          <w:bdr w:val="none" w:sz="0" w:space="0" w:color="auto"/>
          <w:lang w:val="lt-LT"/>
        </w:rPr>
        <w:t xml:space="preserve"> </w:t>
      </w:r>
      <w:proofErr w:type="spellStart"/>
      <w:r w:rsidRPr="00402FF8">
        <w:rPr>
          <w:i/>
          <w:bdr w:val="none" w:sz="0" w:space="0" w:color="auto"/>
          <w:lang w:val="lt-LT"/>
        </w:rPr>
        <w:t>Backstop</w:t>
      </w:r>
      <w:proofErr w:type="spellEnd"/>
      <w:r w:rsidRPr="00402FF8">
        <w:rPr>
          <w:bdr w:val="none" w:sz="0" w:space="0" w:color="auto"/>
          <w:lang w:val="lt-LT"/>
        </w:rPr>
        <w:t>.</w:t>
      </w:r>
      <w:r>
        <w:rPr>
          <w:bdr w:val="none" w:sz="0" w:space="0" w:color="auto"/>
          <w:lang w:val="lt-LT"/>
        </w:rPr>
        <w:t xml:space="preserve"> </w:t>
      </w:r>
      <w:r w:rsidRPr="00402FF8">
        <w:rPr>
          <w:bdr w:val="none" w:sz="0" w:space="0" w:color="auto"/>
          <w:lang w:val="lt-LT"/>
        </w:rPr>
        <w:t>Lietuvos Seimas įstatymus dėl šių sutarčių pakeitimų ratifikavimo pri</w:t>
      </w:r>
      <w:r w:rsidRPr="00402FF8">
        <w:rPr>
          <w:bdr w:val="none" w:sz="0" w:space="0" w:color="auto"/>
          <w:lang w:val="lt-LT"/>
        </w:rPr>
        <w:t>ė</w:t>
      </w:r>
      <w:r w:rsidRPr="00402FF8">
        <w:rPr>
          <w:bdr w:val="none" w:sz="0" w:space="0" w:color="auto"/>
          <w:lang w:val="lt-LT"/>
        </w:rPr>
        <w:t>mė 2021 m. spalio 19 d., Lietuvos Respublikos Prezident</w:t>
      </w:r>
      <w:r w:rsidR="00191C42">
        <w:rPr>
          <w:bdr w:val="none" w:sz="0" w:space="0" w:color="auto"/>
          <w:lang w:val="lt-LT"/>
        </w:rPr>
        <w:t>as įstatymų projektus pasirašė spalio 27 d</w:t>
      </w:r>
      <w:r w:rsidRPr="00402FF8">
        <w:rPr>
          <w:bdr w:val="none" w:sz="0" w:space="0" w:color="auto"/>
          <w:lang w:val="lt-LT"/>
        </w:rPr>
        <w:t>.</w:t>
      </w:r>
      <w:r w:rsidRPr="00402FF8">
        <w:t xml:space="preserve"> </w:t>
      </w:r>
      <w:r w:rsidRPr="00402FF8">
        <w:rPr>
          <w:bdr w:val="none" w:sz="0" w:space="0" w:color="auto"/>
          <w:lang w:val="lt-LT"/>
        </w:rPr>
        <w:t>Pr</w:t>
      </w:r>
      <w:r w:rsidRPr="00402FF8">
        <w:rPr>
          <w:bdr w:val="none" w:sz="0" w:space="0" w:color="auto"/>
          <w:lang w:val="lt-LT"/>
        </w:rPr>
        <w:t>i</w:t>
      </w:r>
      <w:r w:rsidRPr="00402FF8">
        <w:rPr>
          <w:bdr w:val="none" w:sz="0" w:space="0" w:color="auto"/>
          <w:lang w:val="lt-LT"/>
        </w:rPr>
        <w:t>klausomai nuo nacionalinių ratifikavimo procedūrų užbaigimo ir vėlesnių nacionalinių procedūrų, sus</w:t>
      </w:r>
      <w:r w:rsidRPr="00402FF8">
        <w:rPr>
          <w:bdr w:val="none" w:sz="0" w:space="0" w:color="auto"/>
          <w:lang w:val="lt-LT"/>
        </w:rPr>
        <w:t>i</w:t>
      </w:r>
      <w:r w:rsidRPr="00402FF8">
        <w:rPr>
          <w:bdr w:val="none" w:sz="0" w:space="0" w:color="auto"/>
          <w:lang w:val="lt-LT"/>
        </w:rPr>
        <w:t xml:space="preserve">jusių su ESM valdybos sprendimais, ESM reforma ir </w:t>
      </w:r>
      <w:proofErr w:type="spellStart"/>
      <w:r w:rsidRPr="00402FF8">
        <w:rPr>
          <w:i/>
          <w:bdr w:val="none" w:sz="0" w:space="0" w:color="auto"/>
          <w:lang w:val="lt-LT"/>
        </w:rPr>
        <w:t>Common</w:t>
      </w:r>
      <w:proofErr w:type="spellEnd"/>
      <w:r w:rsidRPr="00402FF8">
        <w:rPr>
          <w:i/>
          <w:bdr w:val="none" w:sz="0" w:space="0" w:color="auto"/>
          <w:lang w:val="lt-LT"/>
        </w:rPr>
        <w:t xml:space="preserve"> </w:t>
      </w:r>
      <w:proofErr w:type="spellStart"/>
      <w:r w:rsidRPr="00402FF8">
        <w:rPr>
          <w:i/>
          <w:bdr w:val="none" w:sz="0" w:space="0" w:color="auto"/>
          <w:lang w:val="lt-LT"/>
        </w:rPr>
        <w:t>Backstop</w:t>
      </w:r>
      <w:proofErr w:type="spellEnd"/>
      <w:r w:rsidRPr="00402FF8">
        <w:rPr>
          <w:bdr w:val="none" w:sz="0" w:space="0" w:color="auto"/>
          <w:lang w:val="lt-LT"/>
        </w:rPr>
        <w:t xml:space="preserve"> gali įsigalioti 2022 m. sa</w:t>
      </w:r>
      <w:r w:rsidRPr="00402FF8">
        <w:rPr>
          <w:bdr w:val="none" w:sz="0" w:space="0" w:color="auto"/>
          <w:lang w:val="lt-LT"/>
        </w:rPr>
        <w:t>u</w:t>
      </w:r>
      <w:r w:rsidRPr="00402FF8">
        <w:rPr>
          <w:bdr w:val="none" w:sz="0" w:space="0" w:color="auto"/>
          <w:lang w:val="lt-LT"/>
        </w:rPr>
        <w:t>sio mėn.</w:t>
      </w:r>
    </w:p>
    <w:p w:rsidR="00202AB9" w:rsidRPr="00202AB9" w:rsidRDefault="00202AB9"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p>
    <w:p w:rsidR="00EA7709" w:rsidRDefault="00202AB9"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E52328">
        <w:rPr>
          <w:b/>
          <w:u w:val="single"/>
          <w:bdr w:val="none" w:sz="0" w:space="0" w:color="auto"/>
          <w:lang w:val="lt-LT"/>
        </w:rPr>
        <w:t>Lietuvos pozicija.</w:t>
      </w:r>
      <w:r>
        <w:rPr>
          <w:color w:val="000000"/>
          <w:u w:color="000000"/>
          <w:bdr w:val="none" w:sz="0" w:space="0" w:color="auto"/>
          <w:lang w:val="lt-LT"/>
        </w:rPr>
        <w:t xml:space="preserve"> </w:t>
      </w:r>
      <w:r w:rsidR="00402FF8" w:rsidRPr="00402FF8">
        <w:rPr>
          <w:color w:val="000000"/>
          <w:u w:color="000000"/>
          <w:bdr w:val="none" w:sz="0" w:space="0" w:color="auto"/>
          <w:lang w:val="lt-LT"/>
        </w:rPr>
        <w:t xml:space="preserve">Tikimės, kad </w:t>
      </w:r>
      <w:proofErr w:type="spellStart"/>
      <w:r w:rsidR="00402FF8" w:rsidRPr="00402FF8">
        <w:rPr>
          <w:i/>
          <w:color w:val="000000"/>
          <w:u w:color="000000"/>
          <w:bdr w:val="none" w:sz="0" w:space="0" w:color="auto"/>
          <w:lang w:val="lt-LT"/>
        </w:rPr>
        <w:t>Common</w:t>
      </w:r>
      <w:proofErr w:type="spellEnd"/>
      <w:r w:rsidR="00402FF8" w:rsidRPr="00402FF8">
        <w:rPr>
          <w:i/>
          <w:color w:val="000000"/>
          <w:u w:color="000000"/>
          <w:bdr w:val="none" w:sz="0" w:space="0" w:color="auto"/>
          <w:lang w:val="lt-LT"/>
        </w:rPr>
        <w:t xml:space="preserve"> </w:t>
      </w:r>
      <w:proofErr w:type="spellStart"/>
      <w:r w:rsidR="00402FF8" w:rsidRPr="00402FF8">
        <w:rPr>
          <w:i/>
          <w:color w:val="000000"/>
          <w:u w:color="000000"/>
          <w:bdr w:val="none" w:sz="0" w:space="0" w:color="auto"/>
          <w:lang w:val="lt-LT"/>
        </w:rPr>
        <w:t>Backstop</w:t>
      </w:r>
      <w:proofErr w:type="spellEnd"/>
      <w:r w:rsidR="00402FF8" w:rsidRPr="00402FF8">
        <w:rPr>
          <w:color w:val="000000"/>
          <w:u w:color="000000"/>
          <w:bdr w:val="none" w:sz="0" w:space="0" w:color="auto"/>
          <w:lang w:val="lt-LT"/>
        </w:rPr>
        <w:t xml:space="preserve"> priemonė įsigalios nuo kitų metų pradžios, kaip ir buvo sutarta valstybių narių. </w:t>
      </w:r>
      <w:proofErr w:type="spellStart"/>
      <w:r w:rsidR="00402FF8" w:rsidRPr="00402FF8">
        <w:rPr>
          <w:i/>
          <w:color w:val="000000"/>
          <w:u w:color="000000"/>
          <w:bdr w:val="none" w:sz="0" w:space="0" w:color="auto"/>
          <w:lang w:val="lt-LT"/>
        </w:rPr>
        <w:t>Common</w:t>
      </w:r>
      <w:proofErr w:type="spellEnd"/>
      <w:r w:rsidR="00402FF8" w:rsidRPr="00402FF8">
        <w:rPr>
          <w:i/>
          <w:color w:val="000000"/>
          <w:u w:color="000000"/>
          <w:bdr w:val="none" w:sz="0" w:space="0" w:color="auto"/>
          <w:lang w:val="lt-LT"/>
        </w:rPr>
        <w:t xml:space="preserve"> </w:t>
      </w:r>
      <w:proofErr w:type="spellStart"/>
      <w:r w:rsidR="00402FF8" w:rsidRPr="00402FF8">
        <w:rPr>
          <w:i/>
          <w:color w:val="000000"/>
          <w:u w:color="000000"/>
          <w:bdr w:val="none" w:sz="0" w:space="0" w:color="auto"/>
          <w:lang w:val="lt-LT"/>
        </w:rPr>
        <w:t>Backstop</w:t>
      </w:r>
      <w:proofErr w:type="spellEnd"/>
      <w:r w:rsidR="00402FF8" w:rsidRPr="00402FF8">
        <w:rPr>
          <w:color w:val="000000"/>
          <w:u w:color="000000"/>
          <w:bdr w:val="none" w:sz="0" w:space="0" w:color="auto"/>
          <w:lang w:val="lt-LT"/>
        </w:rPr>
        <w:t xml:space="preserve"> priemonė sustiprins Bendro pertvarkymo m</w:t>
      </w:r>
      <w:r w:rsidR="00402FF8" w:rsidRPr="00402FF8">
        <w:rPr>
          <w:color w:val="000000"/>
          <w:u w:color="000000"/>
          <w:bdr w:val="none" w:sz="0" w:space="0" w:color="auto"/>
          <w:lang w:val="lt-LT"/>
        </w:rPr>
        <w:t>e</w:t>
      </w:r>
      <w:r w:rsidR="00402FF8" w:rsidRPr="00402FF8">
        <w:rPr>
          <w:color w:val="000000"/>
          <w:u w:color="000000"/>
          <w:bdr w:val="none" w:sz="0" w:space="0" w:color="auto"/>
          <w:lang w:val="lt-LT"/>
        </w:rPr>
        <w:t>chanizmo patikimumą, sudarydama sąlygas veiksmingesniam kredito įstaigų, turinčių finansinių sunkumų, pe</w:t>
      </w:r>
      <w:r w:rsidR="00402FF8" w:rsidRPr="00402FF8">
        <w:rPr>
          <w:color w:val="000000"/>
          <w:u w:color="000000"/>
          <w:bdr w:val="none" w:sz="0" w:space="0" w:color="auto"/>
          <w:lang w:val="lt-LT"/>
        </w:rPr>
        <w:t>r</w:t>
      </w:r>
      <w:r w:rsidR="00402FF8" w:rsidRPr="00402FF8">
        <w:rPr>
          <w:color w:val="000000"/>
          <w:u w:color="000000"/>
          <w:bdr w:val="none" w:sz="0" w:space="0" w:color="auto"/>
          <w:lang w:val="lt-LT"/>
        </w:rPr>
        <w:t>tvarkymui bei padidins pasitikėjimą finansų sektoriaus stabilumu Bankų sąjungos valstybėse narėse.</w:t>
      </w:r>
    </w:p>
    <w:p w:rsidR="00BD6C27" w:rsidRPr="00E52328" w:rsidRDefault="00BD6C27" w:rsidP="00BD6C27">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hAnsi="Arial Unicode MS" w:cs="Arial Unicode MS"/>
          <w:color w:val="000000"/>
          <w:u w:color="000000"/>
          <w:bdr w:val="none" w:sz="0" w:space="0" w:color="auto"/>
          <w:lang w:val="lt-LT"/>
        </w:rPr>
      </w:pPr>
    </w:p>
    <w:sectPr w:rsidR="00BD6C27" w:rsidRPr="00E52328" w:rsidSect="004564E8">
      <w:headerReference w:type="default" r:id="rId9"/>
      <w:footerReference w:type="default" r:id="rId10"/>
      <w:headerReference w:type="first" r:id="rId11"/>
      <w:pgSz w:w="11900" w:h="16840"/>
      <w:pgMar w:top="992" w:right="701" w:bottom="567"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982" w:rsidRDefault="00B80982">
      <w:r>
        <w:separator/>
      </w:r>
    </w:p>
  </w:endnote>
  <w:endnote w:type="continuationSeparator" w:id="0">
    <w:p w:rsidR="00B80982" w:rsidRDefault="00B8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303930"/>
      <w:docPartObj>
        <w:docPartGallery w:val="Page Numbers (Bottom of Page)"/>
        <w:docPartUnique/>
      </w:docPartObj>
    </w:sdtPr>
    <w:sdtEndPr/>
    <w:sdtContent>
      <w:p w:rsidR="00F23079" w:rsidRDefault="00F23079">
        <w:pPr>
          <w:pStyle w:val="Porat"/>
          <w:jc w:val="right"/>
        </w:pPr>
        <w:r>
          <w:fldChar w:fldCharType="begin"/>
        </w:r>
        <w:r>
          <w:instrText>PAGE   \* MERGEFORMAT</w:instrText>
        </w:r>
        <w:r>
          <w:fldChar w:fldCharType="separate"/>
        </w:r>
        <w:r w:rsidR="00191C42" w:rsidRPr="00191C42">
          <w:rPr>
            <w:noProof/>
            <w:lang w:val="lt-LT"/>
          </w:rPr>
          <w:t>5</w:t>
        </w:r>
        <w:r>
          <w:fldChar w:fldCharType="end"/>
        </w:r>
      </w:p>
    </w:sdtContent>
  </w:sdt>
  <w:p w:rsidR="00F23079" w:rsidRDefault="00F23079">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982" w:rsidRDefault="00B80982">
      <w:r>
        <w:separator/>
      </w:r>
    </w:p>
  </w:footnote>
  <w:footnote w:type="continuationSeparator" w:id="0">
    <w:p w:rsidR="00B80982" w:rsidRDefault="00B80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79" w:rsidRDefault="00F23079" w:rsidP="00EF0DF3">
    <w:pPr>
      <w:pStyle w:val="BodyA"/>
      <w:tabs>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79" w:rsidRPr="0032625D" w:rsidRDefault="00F23079" w:rsidP="00B03FB8">
    <w:pPr>
      <w:pStyle w:val="BodyA"/>
      <w:tabs>
        <w:tab w:val="center" w:pos="4153"/>
        <w:tab w:val="right" w:pos="8306"/>
      </w:tabs>
      <w:jc w:val="right"/>
      <w:rPr>
        <w:rFonts w:hAnsi="Times New Roman" w:cs="Times New Roman"/>
        <w:i/>
        <w:iCs/>
        <w:lang w:val="lt-LT"/>
      </w:rPr>
    </w:pPr>
    <w:r w:rsidRPr="009A0A41">
      <w:rPr>
        <w:rFonts w:hAnsi="Times New Roman" w:cs="Times New Roman"/>
        <w:i/>
        <w:iCs/>
        <w:lang w:val="fr-FR"/>
      </w:rPr>
      <w:t>Finans</w:t>
    </w:r>
    <w:r w:rsidRPr="0032625D">
      <w:rPr>
        <w:rFonts w:hAnsi="Times New Roman" w:cs="Times New Roman"/>
        <w:i/>
        <w:iCs/>
        <w:lang w:val="lt-LT"/>
      </w:rPr>
      <w:t>ų ministerijos</w:t>
    </w:r>
    <w:r>
      <w:rPr>
        <w:rFonts w:hAnsi="Times New Roman" w:cs="Times New Roman"/>
        <w:i/>
        <w:iCs/>
        <w:lang w:val="lt-LT"/>
      </w:rPr>
      <w:t xml:space="preserve"> ES ir tarptautinių reikalų departamentas</w:t>
    </w:r>
  </w:p>
  <w:p w:rsidR="00F23079" w:rsidRPr="002677AA" w:rsidRDefault="00F23079" w:rsidP="00B03FB8">
    <w:pPr>
      <w:pStyle w:val="BodyA"/>
      <w:tabs>
        <w:tab w:val="center" w:pos="4153"/>
        <w:tab w:val="right" w:pos="8306"/>
      </w:tabs>
      <w:jc w:val="right"/>
      <w:rPr>
        <w:rFonts w:hAnsi="Times New Roman" w:cs="Times New Roman"/>
        <w:i/>
        <w:iCs/>
      </w:rPr>
    </w:pPr>
    <w:r>
      <w:rPr>
        <w:rFonts w:hAnsi="Times New Roman" w:cs="Times New Roman"/>
        <w:i/>
        <w:iCs/>
      </w:rPr>
      <w:t>2021-10-29</w:t>
    </w:r>
  </w:p>
  <w:p w:rsidR="00F23079" w:rsidRDefault="00F23079" w:rsidP="00EF0DF3">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8A1F7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nsid w:val="099D777C"/>
    <w:multiLevelType w:val="hybridMultilevel"/>
    <w:tmpl w:val="9328E9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ACA16C0"/>
    <w:multiLevelType w:val="hybridMultilevel"/>
    <w:tmpl w:val="D430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6">
    <w:nsid w:val="13E97D1B"/>
    <w:multiLevelType w:val="hybridMultilevel"/>
    <w:tmpl w:val="8A4E5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4BE7107"/>
    <w:multiLevelType w:val="hybridMultilevel"/>
    <w:tmpl w:val="B0566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65E3D56"/>
    <w:multiLevelType w:val="hybridMultilevel"/>
    <w:tmpl w:val="00C833C4"/>
    <w:lvl w:ilvl="0" w:tplc="08090017">
      <w:start w:val="3"/>
      <w:numFmt w:val="lowerLetter"/>
      <w:lvlText w:val="%1)"/>
      <w:lvlJc w:val="left"/>
      <w:pPr>
        <w:ind w:left="1920" w:hanging="360"/>
      </w:pPr>
      <w:rPr>
        <w:rFonts w:ascii="Times New Roman" w:hAnsi="Times New Roman" w:cs="Times New Roman"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9">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10">
    <w:nsid w:val="1F499822"/>
    <w:multiLevelType w:val="hybridMultilevel"/>
    <w:tmpl w:val="5DBC5CFC"/>
    <w:lvl w:ilvl="0" w:tplc="04FC1316">
      <w:start w:val="1"/>
      <w:numFmt w:val="decimal"/>
      <w:lvlText w:val="%1."/>
      <w:lvlJc w:val="left"/>
      <w:pPr>
        <w:ind w:left="720" w:hanging="360"/>
      </w:p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11">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2">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3">
    <w:nsid w:val="2D1A71B7"/>
    <w:multiLevelType w:val="multilevel"/>
    <w:tmpl w:val="8416B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38531B"/>
    <w:multiLevelType w:val="hybridMultilevel"/>
    <w:tmpl w:val="F4EA69F2"/>
    <w:lvl w:ilvl="0" w:tplc="FD985B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A733BB"/>
    <w:multiLevelType w:val="hybridMultilevel"/>
    <w:tmpl w:val="83C8F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7">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18">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19">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17A2BED"/>
    <w:multiLevelType w:val="hybridMultilevel"/>
    <w:tmpl w:val="A1F81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2">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3">
    <w:nsid w:val="4A335DF8"/>
    <w:multiLevelType w:val="hybridMultilevel"/>
    <w:tmpl w:val="044ACB24"/>
    <w:lvl w:ilvl="0" w:tplc="0C96469A">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9DC1A83"/>
    <w:multiLevelType w:val="hybridMultilevel"/>
    <w:tmpl w:val="DCFC30F2"/>
    <w:lvl w:ilvl="0" w:tplc="A2E8255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nsid w:val="5E135733"/>
    <w:multiLevelType w:val="hybridMultilevel"/>
    <w:tmpl w:val="03F4E4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60974EC9"/>
    <w:multiLevelType w:val="hybridMultilevel"/>
    <w:tmpl w:val="9944690C"/>
    <w:lvl w:ilvl="0" w:tplc="5E64B030">
      <w:start w:val="2020"/>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2D9631B"/>
    <w:multiLevelType w:val="multilevel"/>
    <w:tmpl w:val="A29606E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8">
    <w:nsid w:val="68A138C1"/>
    <w:multiLevelType w:val="hybridMultilevel"/>
    <w:tmpl w:val="31B69DB8"/>
    <w:lvl w:ilvl="0" w:tplc="B4662E1C">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0">
    <w:nsid w:val="718E307D"/>
    <w:multiLevelType w:val="hybridMultilevel"/>
    <w:tmpl w:val="AC2C8B90"/>
    <w:lvl w:ilvl="0" w:tplc="5E64B030">
      <w:start w:val="2020"/>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B5E0DBD"/>
    <w:multiLevelType w:val="hybridMultilevel"/>
    <w:tmpl w:val="99F24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6"/>
  </w:num>
  <w:num w:numId="4">
    <w:abstractNumId w:val="18"/>
  </w:num>
  <w:num w:numId="5">
    <w:abstractNumId w:val="21"/>
  </w:num>
  <w:num w:numId="6">
    <w:abstractNumId w:val="22"/>
  </w:num>
  <w:num w:numId="7">
    <w:abstractNumId w:val="5"/>
  </w:num>
  <w:num w:numId="8">
    <w:abstractNumId w:val="1"/>
  </w:num>
  <w:num w:numId="9">
    <w:abstractNumId w:val="2"/>
  </w:num>
  <w:num w:numId="10">
    <w:abstractNumId w:val="17"/>
  </w:num>
  <w:num w:numId="11">
    <w:abstractNumId w:val="11"/>
  </w:num>
  <w:num w:numId="12">
    <w:abstractNumId w:val="29"/>
  </w:num>
  <w:num w:numId="13">
    <w:abstractNumId w:val="10"/>
  </w:num>
  <w:num w:numId="14">
    <w:abstractNumId w:val="19"/>
  </w:num>
  <w:num w:numId="15">
    <w:abstractNumId w:val="28"/>
  </w:num>
  <w:num w:numId="16">
    <w:abstractNumId w:val="0"/>
  </w:num>
  <w:num w:numId="17">
    <w:abstractNumId w:val="4"/>
  </w:num>
  <w:num w:numId="18">
    <w:abstractNumId w:val="6"/>
  </w:num>
  <w:num w:numId="19">
    <w:abstractNumId w:val="3"/>
  </w:num>
  <w:num w:numId="20">
    <w:abstractNumId w:val="20"/>
  </w:num>
  <w:num w:numId="21">
    <w:abstractNumId w:val="31"/>
  </w:num>
  <w:num w:numId="22">
    <w:abstractNumId w:val="30"/>
  </w:num>
  <w:num w:numId="23">
    <w:abstractNumId w:val="14"/>
  </w:num>
  <w:num w:numId="24">
    <w:abstractNumId w:val="26"/>
  </w:num>
  <w:num w:numId="25">
    <w:abstractNumId w:val="15"/>
  </w:num>
  <w:num w:numId="26">
    <w:abstractNumId w:val="13"/>
  </w:num>
  <w:num w:numId="27">
    <w:abstractNumId w:val="27"/>
  </w:num>
  <w:num w:numId="28">
    <w:abstractNumId w:val="24"/>
  </w:num>
  <w:num w:numId="29">
    <w:abstractNumId w:val="23"/>
  </w:num>
  <w:num w:numId="30">
    <w:abstractNumId w:val="7"/>
  </w:num>
  <w:num w:numId="31">
    <w:abstractNumId w:val="8"/>
  </w:num>
  <w:num w:numId="3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autoHyphenation/>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7F"/>
    <w:rsid w:val="00004B94"/>
    <w:rsid w:val="00007F46"/>
    <w:rsid w:val="00013CD2"/>
    <w:rsid w:val="00013E03"/>
    <w:rsid w:val="0002395C"/>
    <w:rsid w:val="000344E8"/>
    <w:rsid w:val="000355E8"/>
    <w:rsid w:val="000372A7"/>
    <w:rsid w:val="00042697"/>
    <w:rsid w:val="00043E24"/>
    <w:rsid w:val="00046AE0"/>
    <w:rsid w:val="00052A62"/>
    <w:rsid w:val="000573E9"/>
    <w:rsid w:val="0007211E"/>
    <w:rsid w:val="00072EDE"/>
    <w:rsid w:val="000742B3"/>
    <w:rsid w:val="00085F32"/>
    <w:rsid w:val="00091F65"/>
    <w:rsid w:val="000B1D35"/>
    <w:rsid w:val="000B28F9"/>
    <w:rsid w:val="000B653F"/>
    <w:rsid w:val="000C1EFA"/>
    <w:rsid w:val="000D6DCF"/>
    <w:rsid w:val="000E1AFB"/>
    <w:rsid w:val="000F05F0"/>
    <w:rsid w:val="00103467"/>
    <w:rsid w:val="00103D35"/>
    <w:rsid w:val="00105437"/>
    <w:rsid w:val="00106963"/>
    <w:rsid w:val="00117121"/>
    <w:rsid w:val="00125FDD"/>
    <w:rsid w:val="001546C1"/>
    <w:rsid w:val="00155D7C"/>
    <w:rsid w:val="0015792A"/>
    <w:rsid w:val="00160063"/>
    <w:rsid w:val="00161D1D"/>
    <w:rsid w:val="00162D47"/>
    <w:rsid w:val="00175DFA"/>
    <w:rsid w:val="00177F7C"/>
    <w:rsid w:val="0018542E"/>
    <w:rsid w:val="00185FD2"/>
    <w:rsid w:val="001911B9"/>
    <w:rsid w:val="00191C42"/>
    <w:rsid w:val="00193BC3"/>
    <w:rsid w:val="00195B59"/>
    <w:rsid w:val="00195F60"/>
    <w:rsid w:val="001A5199"/>
    <w:rsid w:val="001B199F"/>
    <w:rsid w:val="001B387D"/>
    <w:rsid w:val="001B6C4D"/>
    <w:rsid w:val="001B7FB9"/>
    <w:rsid w:val="001C1DFB"/>
    <w:rsid w:val="001C48BB"/>
    <w:rsid w:val="001D0192"/>
    <w:rsid w:val="001D4843"/>
    <w:rsid w:val="001D54D3"/>
    <w:rsid w:val="001E5D73"/>
    <w:rsid w:val="001F4EB7"/>
    <w:rsid w:val="001F6FB2"/>
    <w:rsid w:val="00202AB9"/>
    <w:rsid w:val="00204492"/>
    <w:rsid w:val="002064C1"/>
    <w:rsid w:val="00206969"/>
    <w:rsid w:val="0021420F"/>
    <w:rsid w:val="0022359E"/>
    <w:rsid w:val="00223A8C"/>
    <w:rsid w:val="00225CBA"/>
    <w:rsid w:val="00230167"/>
    <w:rsid w:val="00231801"/>
    <w:rsid w:val="002446DC"/>
    <w:rsid w:val="00246A52"/>
    <w:rsid w:val="002471F9"/>
    <w:rsid w:val="00252CC5"/>
    <w:rsid w:val="00265A54"/>
    <w:rsid w:val="002677AA"/>
    <w:rsid w:val="0027305F"/>
    <w:rsid w:val="00273F0F"/>
    <w:rsid w:val="00274F66"/>
    <w:rsid w:val="00293151"/>
    <w:rsid w:val="00293998"/>
    <w:rsid w:val="00296AC0"/>
    <w:rsid w:val="002A0B19"/>
    <w:rsid w:val="002A483F"/>
    <w:rsid w:val="002A7046"/>
    <w:rsid w:val="002B0C7E"/>
    <w:rsid w:val="002B4A83"/>
    <w:rsid w:val="002C15B7"/>
    <w:rsid w:val="002C1B25"/>
    <w:rsid w:val="002E12C0"/>
    <w:rsid w:val="002F39D0"/>
    <w:rsid w:val="00310122"/>
    <w:rsid w:val="00312DD1"/>
    <w:rsid w:val="0031328A"/>
    <w:rsid w:val="00314CC7"/>
    <w:rsid w:val="00322DEB"/>
    <w:rsid w:val="0032625D"/>
    <w:rsid w:val="00326924"/>
    <w:rsid w:val="00330DCD"/>
    <w:rsid w:val="003339B9"/>
    <w:rsid w:val="00333A2E"/>
    <w:rsid w:val="00333A70"/>
    <w:rsid w:val="00334450"/>
    <w:rsid w:val="003346D0"/>
    <w:rsid w:val="00335ED8"/>
    <w:rsid w:val="00336353"/>
    <w:rsid w:val="00345657"/>
    <w:rsid w:val="00350671"/>
    <w:rsid w:val="0035318E"/>
    <w:rsid w:val="00357286"/>
    <w:rsid w:val="00371E7A"/>
    <w:rsid w:val="00373BAD"/>
    <w:rsid w:val="003743EB"/>
    <w:rsid w:val="00392437"/>
    <w:rsid w:val="0039254C"/>
    <w:rsid w:val="00395A7A"/>
    <w:rsid w:val="003A19FE"/>
    <w:rsid w:val="003A34D7"/>
    <w:rsid w:val="003A3602"/>
    <w:rsid w:val="003B37F3"/>
    <w:rsid w:val="003B616C"/>
    <w:rsid w:val="003C6810"/>
    <w:rsid w:val="003E215F"/>
    <w:rsid w:val="003E2F37"/>
    <w:rsid w:val="003E7D0A"/>
    <w:rsid w:val="003F3A8E"/>
    <w:rsid w:val="003F4233"/>
    <w:rsid w:val="003F4CE0"/>
    <w:rsid w:val="003F58E0"/>
    <w:rsid w:val="00400A9A"/>
    <w:rsid w:val="00402FF8"/>
    <w:rsid w:val="004053CB"/>
    <w:rsid w:val="00406FB1"/>
    <w:rsid w:val="00410B36"/>
    <w:rsid w:val="00415C08"/>
    <w:rsid w:val="004226F1"/>
    <w:rsid w:val="00426EF5"/>
    <w:rsid w:val="00427247"/>
    <w:rsid w:val="004339F6"/>
    <w:rsid w:val="0043443E"/>
    <w:rsid w:val="00435181"/>
    <w:rsid w:val="00441440"/>
    <w:rsid w:val="004450FB"/>
    <w:rsid w:val="0044636B"/>
    <w:rsid w:val="00452B2A"/>
    <w:rsid w:val="004564E8"/>
    <w:rsid w:val="00466E3A"/>
    <w:rsid w:val="00477DE6"/>
    <w:rsid w:val="00481C41"/>
    <w:rsid w:val="00486404"/>
    <w:rsid w:val="00487239"/>
    <w:rsid w:val="004900E0"/>
    <w:rsid w:val="0049509B"/>
    <w:rsid w:val="00495B70"/>
    <w:rsid w:val="004A0199"/>
    <w:rsid w:val="004A21F3"/>
    <w:rsid w:val="004A3298"/>
    <w:rsid w:val="004B0780"/>
    <w:rsid w:val="004B14B1"/>
    <w:rsid w:val="004B217F"/>
    <w:rsid w:val="004B3A64"/>
    <w:rsid w:val="004B5739"/>
    <w:rsid w:val="004B745F"/>
    <w:rsid w:val="004C1051"/>
    <w:rsid w:val="004C2FDC"/>
    <w:rsid w:val="004C5342"/>
    <w:rsid w:val="004D0CA6"/>
    <w:rsid w:val="004D2D5B"/>
    <w:rsid w:val="004D5797"/>
    <w:rsid w:val="004F4076"/>
    <w:rsid w:val="00500E5C"/>
    <w:rsid w:val="00501186"/>
    <w:rsid w:val="00501CE5"/>
    <w:rsid w:val="005107B8"/>
    <w:rsid w:val="0051792A"/>
    <w:rsid w:val="00517C6F"/>
    <w:rsid w:val="00526A83"/>
    <w:rsid w:val="00530736"/>
    <w:rsid w:val="00543C22"/>
    <w:rsid w:val="0054616A"/>
    <w:rsid w:val="005515EF"/>
    <w:rsid w:val="00552CF7"/>
    <w:rsid w:val="00555975"/>
    <w:rsid w:val="00557D5B"/>
    <w:rsid w:val="00561886"/>
    <w:rsid w:val="005721A0"/>
    <w:rsid w:val="0058519B"/>
    <w:rsid w:val="00585312"/>
    <w:rsid w:val="00587B54"/>
    <w:rsid w:val="00592806"/>
    <w:rsid w:val="00592A92"/>
    <w:rsid w:val="00592EE3"/>
    <w:rsid w:val="0059354C"/>
    <w:rsid w:val="005A5C3B"/>
    <w:rsid w:val="005A71D9"/>
    <w:rsid w:val="005A72B9"/>
    <w:rsid w:val="005B3FB0"/>
    <w:rsid w:val="005D2460"/>
    <w:rsid w:val="005D3625"/>
    <w:rsid w:val="005D3A86"/>
    <w:rsid w:val="005E025B"/>
    <w:rsid w:val="005E2479"/>
    <w:rsid w:val="005E3C27"/>
    <w:rsid w:val="005E52A5"/>
    <w:rsid w:val="005F2600"/>
    <w:rsid w:val="005F59B2"/>
    <w:rsid w:val="00604E4D"/>
    <w:rsid w:val="00614DBA"/>
    <w:rsid w:val="0062431D"/>
    <w:rsid w:val="00625288"/>
    <w:rsid w:val="00627C8B"/>
    <w:rsid w:val="006314EB"/>
    <w:rsid w:val="00632D15"/>
    <w:rsid w:val="00633095"/>
    <w:rsid w:val="00633882"/>
    <w:rsid w:val="006404C7"/>
    <w:rsid w:val="00643B1A"/>
    <w:rsid w:val="0064515B"/>
    <w:rsid w:val="0064611F"/>
    <w:rsid w:val="00646F02"/>
    <w:rsid w:val="006471C4"/>
    <w:rsid w:val="0064735F"/>
    <w:rsid w:val="00651ACB"/>
    <w:rsid w:val="0065356B"/>
    <w:rsid w:val="00661618"/>
    <w:rsid w:val="00664A68"/>
    <w:rsid w:val="00665736"/>
    <w:rsid w:val="006717E4"/>
    <w:rsid w:val="00672A7F"/>
    <w:rsid w:val="00675DEA"/>
    <w:rsid w:val="00682188"/>
    <w:rsid w:val="00682368"/>
    <w:rsid w:val="00682383"/>
    <w:rsid w:val="00690882"/>
    <w:rsid w:val="0069629B"/>
    <w:rsid w:val="006A44FA"/>
    <w:rsid w:val="006B5BA9"/>
    <w:rsid w:val="006B7251"/>
    <w:rsid w:val="006D01D0"/>
    <w:rsid w:val="006D395F"/>
    <w:rsid w:val="006D53C3"/>
    <w:rsid w:val="006E6FE9"/>
    <w:rsid w:val="007043A1"/>
    <w:rsid w:val="00704C38"/>
    <w:rsid w:val="00704CBF"/>
    <w:rsid w:val="00710ADC"/>
    <w:rsid w:val="00721D4B"/>
    <w:rsid w:val="00724748"/>
    <w:rsid w:val="00724D05"/>
    <w:rsid w:val="00731227"/>
    <w:rsid w:val="007327EE"/>
    <w:rsid w:val="00734DFA"/>
    <w:rsid w:val="00743EDA"/>
    <w:rsid w:val="00752F42"/>
    <w:rsid w:val="00757E6B"/>
    <w:rsid w:val="0076574D"/>
    <w:rsid w:val="00772A9F"/>
    <w:rsid w:val="0077723B"/>
    <w:rsid w:val="007852FE"/>
    <w:rsid w:val="007867D8"/>
    <w:rsid w:val="00790FF5"/>
    <w:rsid w:val="00794FFB"/>
    <w:rsid w:val="00795E46"/>
    <w:rsid w:val="00796238"/>
    <w:rsid w:val="007A0061"/>
    <w:rsid w:val="007A2008"/>
    <w:rsid w:val="007A362E"/>
    <w:rsid w:val="007B0CBF"/>
    <w:rsid w:val="007B14DC"/>
    <w:rsid w:val="007B6B80"/>
    <w:rsid w:val="007B6FDE"/>
    <w:rsid w:val="007C0E1D"/>
    <w:rsid w:val="007C16E0"/>
    <w:rsid w:val="007C752A"/>
    <w:rsid w:val="007D2553"/>
    <w:rsid w:val="007D2C2B"/>
    <w:rsid w:val="007D724A"/>
    <w:rsid w:val="007D7FCE"/>
    <w:rsid w:val="007F27FA"/>
    <w:rsid w:val="007F5B19"/>
    <w:rsid w:val="00810730"/>
    <w:rsid w:val="00811E87"/>
    <w:rsid w:val="0081679C"/>
    <w:rsid w:val="00816959"/>
    <w:rsid w:val="0082066C"/>
    <w:rsid w:val="008251D0"/>
    <w:rsid w:val="00825E43"/>
    <w:rsid w:val="00827730"/>
    <w:rsid w:val="00830485"/>
    <w:rsid w:val="00836630"/>
    <w:rsid w:val="00840B13"/>
    <w:rsid w:val="008419A6"/>
    <w:rsid w:val="00843EAA"/>
    <w:rsid w:val="00844B61"/>
    <w:rsid w:val="0085129B"/>
    <w:rsid w:val="0085316D"/>
    <w:rsid w:val="00856CFA"/>
    <w:rsid w:val="008618CC"/>
    <w:rsid w:val="00862572"/>
    <w:rsid w:val="00864AF3"/>
    <w:rsid w:val="00870012"/>
    <w:rsid w:val="00872C2A"/>
    <w:rsid w:val="00876E32"/>
    <w:rsid w:val="008927D7"/>
    <w:rsid w:val="00895BBA"/>
    <w:rsid w:val="00897D86"/>
    <w:rsid w:val="008B2D75"/>
    <w:rsid w:val="008B6A7B"/>
    <w:rsid w:val="008C07C3"/>
    <w:rsid w:val="008C2331"/>
    <w:rsid w:val="008C3531"/>
    <w:rsid w:val="008C41CD"/>
    <w:rsid w:val="008D674A"/>
    <w:rsid w:val="008E3D5A"/>
    <w:rsid w:val="008E4ECC"/>
    <w:rsid w:val="008E5A20"/>
    <w:rsid w:val="008F3873"/>
    <w:rsid w:val="008F726D"/>
    <w:rsid w:val="00901AF5"/>
    <w:rsid w:val="009029E5"/>
    <w:rsid w:val="00902CF9"/>
    <w:rsid w:val="00907CB4"/>
    <w:rsid w:val="0091393B"/>
    <w:rsid w:val="00925EB4"/>
    <w:rsid w:val="009329D1"/>
    <w:rsid w:val="00934773"/>
    <w:rsid w:val="00937DF4"/>
    <w:rsid w:val="009421E7"/>
    <w:rsid w:val="009469ED"/>
    <w:rsid w:val="009518B5"/>
    <w:rsid w:val="00956D02"/>
    <w:rsid w:val="00956EC2"/>
    <w:rsid w:val="00957A35"/>
    <w:rsid w:val="00957F3F"/>
    <w:rsid w:val="0096216E"/>
    <w:rsid w:val="009646B3"/>
    <w:rsid w:val="0096658E"/>
    <w:rsid w:val="00970FB0"/>
    <w:rsid w:val="0098163A"/>
    <w:rsid w:val="009852AB"/>
    <w:rsid w:val="00987B6A"/>
    <w:rsid w:val="00992EA2"/>
    <w:rsid w:val="00994D2A"/>
    <w:rsid w:val="0099655E"/>
    <w:rsid w:val="0099668A"/>
    <w:rsid w:val="00997764"/>
    <w:rsid w:val="009A0353"/>
    <w:rsid w:val="009A0A41"/>
    <w:rsid w:val="009A1AD9"/>
    <w:rsid w:val="009A52A2"/>
    <w:rsid w:val="009A66CC"/>
    <w:rsid w:val="009A7FD0"/>
    <w:rsid w:val="009B0378"/>
    <w:rsid w:val="009B2048"/>
    <w:rsid w:val="009C14C5"/>
    <w:rsid w:val="009C6662"/>
    <w:rsid w:val="009D2464"/>
    <w:rsid w:val="009D446E"/>
    <w:rsid w:val="009E659A"/>
    <w:rsid w:val="009E6C26"/>
    <w:rsid w:val="009F1D77"/>
    <w:rsid w:val="009F3E8B"/>
    <w:rsid w:val="00A01382"/>
    <w:rsid w:val="00A021AC"/>
    <w:rsid w:val="00A0588B"/>
    <w:rsid w:val="00A06580"/>
    <w:rsid w:val="00A15DF7"/>
    <w:rsid w:val="00A32B88"/>
    <w:rsid w:val="00A33567"/>
    <w:rsid w:val="00A43544"/>
    <w:rsid w:val="00A44441"/>
    <w:rsid w:val="00A45218"/>
    <w:rsid w:val="00A45CF8"/>
    <w:rsid w:val="00A46E6E"/>
    <w:rsid w:val="00A47BB8"/>
    <w:rsid w:val="00A600FE"/>
    <w:rsid w:val="00A61189"/>
    <w:rsid w:val="00A63AD0"/>
    <w:rsid w:val="00A65258"/>
    <w:rsid w:val="00A70677"/>
    <w:rsid w:val="00A84354"/>
    <w:rsid w:val="00A93E92"/>
    <w:rsid w:val="00AA492E"/>
    <w:rsid w:val="00AB07FA"/>
    <w:rsid w:val="00AC2110"/>
    <w:rsid w:val="00AD70B1"/>
    <w:rsid w:val="00AD7E3A"/>
    <w:rsid w:val="00AE4846"/>
    <w:rsid w:val="00AE7F1E"/>
    <w:rsid w:val="00AF16A9"/>
    <w:rsid w:val="00AF1B36"/>
    <w:rsid w:val="00AF7A2A"/>
    <w:rsid w:val="00B03FB8"/>
    <w:rsid w:val="00B0541A"/>
    <w:rsid w:val="00B22A5E"/>
    <w:rsid w:val="00B260BC"/>
    <w:rsid w:val="00B51EE3"/>
    <w:rsid w:val="00B521BE"/>
    <w:rsid w:val="00B54308"/>
    <w:rsid w:val="00B57724"/>
    <w:rsid w:val="00B60006"/>
    <w:rsid w:val="00B6006E"/>
    <w:rsid w:val="00B67F14"/>
    <w:rsid w:val="00B70894"/>
    <w:rsid w:val="00B734F9"/>
    <w:rsid w:val="00B736E4"/>
    <w:rsid w:val="00B80982"/>
    <w:rsid w:val="00B841E3"/>
    <w:rsid w:val="00B869E8"/>
    <w:rsid w:val="00B90C15"/>
    <w:rsid w:val="00B94E3A"/>
    <w:rsid w:val="00BA186A"/>
    <w:rsid w:val="00BB73F2"/>
    <w:rsid w:val="00BD168E"/>
    <w:rsid w:val="00BD2968"/>
    <w:rsid w:val="00BD3FF3"/>
    <w:rsid w:val="00BD4688"/>
    <w:rsid w:val="00BD6C27"/>
    <w:rsid w:val="00BE1AD4"/>
    <w:rsid w:val="00BE299C"/>
    <w:rsid w:val="00BE594D"/>
    <w:rsid w:val="00BF1071"/>
    <w:rsid w:val="00BF4A3E"/>
    <w:rsid w:val="00BF5A28"/>
    <w:rsid w:val="00BF701E"/>
    <w:rsid w:val="00C05559"/>
    <w:rsid w:val="00C132DF"/>
    <w:rsid w:val="00C201F5"/>
    <w:rsid w:val="00C22532"/>
    <w:rsid w:val="00C23CD5"/>
    <w:rsid w:val="00C24B3F"/>
    <w:rsid w:val="00C2568C"/>
    <w:rsid w:val="00C31389"/>
    <w:rsid w:val="00C33F60"/>
    <w:rsid w:val="00C4623F"/>
    <w:rsid w:val="00C52BEC"/>
    <w:rsid w:val="00C56B43"/>
    <w:rsid w:val="00C56C82"/>
    <w:rsid w:val="00C61052"/>
    <w:rsid w:val="00C648AF"/>
    <w:rsid w:val="00C65A66"/>
    <w:rsid w:val="00C70241"/>
    <w:rsid w:val="00C70F7A"/>
    <w:rsid w:val="00C72D3C"/>
    <w:rsid w:val="00C842BA"/>
    <w:rsid w:val="00C90D76"/>
    <w:rsid w:val="00C94C3C"/>
    <w:rsid w:val="00CA1F7E"/>
    <w:rsid w:val="00CB3F37"/>
    <w:rsid w:val="00CC48F1"/>
    <w:rsid w:val="00CC7175"/>
    <w:rsid w:val="00CD1F1F"/>
    <w:rsid w:val="00CD6507"/>
    <w:rsid w:val="00CE45B0"/>
    <w:rsid w:val="00CE71D0"/>
    <w:rsid w:val="00CF2346"/>
    <w:rsid w:val="00CF6326"/>
    <w:rsid w:val="00D06073"/>
    <w:rsid w:val="00D06EF6"/>
    <w:rsid w:val="00D07E6A"/>
    <w:rsid w:val="00D20000"/>
    <w:rsid w:val="00D2769F"/>
    <w:rsid w:val="00D30124"/>
    <w:rsid w:val="00D315D6"/>
    <w:rsid w:val="00D33BCF"/>
    <w:rsid w:val="00D34348"/>
    <w:rsid w:val="00D465B8"/>
    <w:rsid w:val="00D57067"/>
    <w:rsid w:val="00D652D9"/>
    <w:rsid w:val="00D65D3A"/>
    <w:rsid w:val="00D67DDF"/>
    <w:rsid w:val="00D70147"/>
    <w:rsid w:val="00D73DC0"/>
    <w:rsid w:val="00D767B6"/>
    <w:rsid w:val="00D8006B"/>
    <w:rsid w:val="00D80DED"/>
    <w:rsid w:val="00D9296E"/>
    <w:rsid w:val="00D961D3"/>
    <w:rsid w:val="00DB4E6F"/>
    <w:rsid w:val="00DC1F4E"/>
    <w:rsid w:val="00DC6502"/>
    <w:rsid w:val="00DD2F9F"/>
    <w:rsid w:val="00DE4D5E"/>
    <w:rsid w:val="00DE6884"/>
    <w:rsid w:val="00DF2CDB"/>
    <w:rsid w:val="00DF5114"/>
    <w:rsid w:val="00DF5C7C"/>
    <w:rsid w:val="00E03B47"/>
    <w:rsid w:val="00E0474B"/>
    <w:rsid w:val="00E1240D"/>
    <w:rsid w:val="00E17C1D"/>
    <w:rsid w:val="00E24F35"/>
    <w:rsid w:val="00E45C2F"/>
    <w:rsid w:val="00E47362"/>
    <w:rsid w:val="00E50056"/>
    <w:rsid w:val="00E52328"/>
    <w:rsid w:val="00E55B50"/>
    <w:rsid w:val="00E612E0"/>
    <w:rsid w:val="00E66528"/>
    <w:rsid w:val="00E70A31"/>
    <w:rsid w:val="00E84E3C"/>
    <w:rsid w:val="00E8517B"/>
    <w:rsid w:val="00E87C6E"/>
    <w:rsid w:val="00E91FEC"/>
    <w:rsid w:val="00E949DE"/>
    <w:rsid w:val="00EA3DB2"/>
    <w:rsid w:val="00EA7709"/>
    <w:rsid w:val="00EB5F90"/>
    <w:rsid w:val="00EB6A16"/>
    <w:rsid w:val="00EC2021"/>
    <w:rsid w:val="00ED2869"/>
    <w:rsid w:val="00ED523A"/>
    <w:rsid w:val="00ED5B56"/>
    <w:rsid w:val="00EE0782"/>
    <w:rsid w:val="00EE0A8F"/>
    <w:rsid w:val="00EE1216"/>
    <w:rsid w:val="00EF0DF3"/>
    <w:rsid w:val="00EF3536"/>
    <w:rsid w:val="00EF39C4"/>
    <w:rsid w:val="00F0025C"/>
    <w:rsid w:val="00F017FA"/>
    <w:rsid w:val="00F06A46"/>
    <w:rsid w:val="00F13EFA"/>
    <w:rsid w:val="00F1429B"/>
    <w:rsid w:val="00F1580F"/>
    <w:rsid w:val="00F15F69"/>
    <w:rsid w:val="00F225D5"/>
    <w:rsid w:val="00F23079"/>
    <w:rsid w:val="00F40E6E"/>
    <w:rsid w:val="00F54874"/>
    <w:rsid w:val="00F56596"/>
    <w:rsid w:val="00F631C4"/>
    <w:rsid w:val="00F6555B"/>
    <w:rsid w:val="00F67B44"/>
    <w:rsid w:val="00F73B42"/>
    <w:rsid w:val="00F95313"/>
    <w:rsid w:val="00F97DFD"/>
    <w:rsid w:val="00FB0EDF"/>
    <w:rsid w:val="00FB366D"/>
    <w:rsid w:val="00FB3B4C"/>
    <w:rsid w:val="00FB5FC9"/>
    <w:rsid w:val="00FC00D9"/>
    <w:rsid w:val="00FC3B44"/>
    <w:rsid w:val="00FC6C35"/>
    <w:rsid w:val="00FD20F3"/>
    <w:rsid w:val="00FD34ED"/>
    <w:rsid w:val="00FD429F"/>
    <w:rsid w:val="00FD757A"/>
    <w:rsid w:val="00FE389A"/>
    <w:rsid w:val="00FE5121"/>
    <w:rsid w:val="00FF138C"/>
    <w:rsid w:val="00FF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EA7709"/>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aliases w:val="Su numeracija,Akapit z listą,Dot pt,F5 List Paragraph,List Paragraph1,Recommendation,List Paragraph11,Numerowanie,Kolorowa lista — akcent 11,Akapit z listą1,Listaszerű bekezdés1,List Paragraph à moi,List Paragraph (numbered (a)),L,列出段落"/>
    <w:link w:val="SraopastraipaDiagrama"/>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 w:type="character" w:customStyle="1" w:styleId="SraopastraipaDiagrama">
    <w:name w:val="Sąrašo pastraipa Diagrama"/>
    <w:aliases w:val="Su numeracija Diagrama,Akapit z listą Diagrama,Dot pt Diagrama,F5 List Paragraph Diagrama,List Paragraph1 Diagrama,Recommendation Diagrama,List Paragraph11 Diagrama,Numerowanie Diagrama,Kolorowa lista — akcent 11 Diagrama"/>
    <w:link w:val="Sraopastraipa"/>
    <w:uiPriority w:val="34"/>
    <w:qFormat/>
    <w:rsid w:val="00AB07FA"/>
    <w:rPr>
      <w:rFonts w:hAnsi="Arial Unicode MS" w:cs="Arial Unicode MS"/>
      <w:color w:val="000000"/>
      <w:sz w:val="24"/>
      <w:szCs w:val="24"/>
      <w:u w:color="000000"/>
    </w:rPr>
  </w:style>
  <w:style w:type="paragraph" w:customStyle="1" w:styleId="ManualNumPar1">
    <w:name w:val="Manual NumPar 1"/>
    <w:basedOn w:val="prastasis"/>
    <w:next w:val="prastasis"/>
    <w:rsid w:val="00FB3B4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hanging="850"/>
      <w:jc w:val="both"/>
    </w:pPr>
    <w:rPr>
      <w:rFonts w:eastAsiaTheme="minorHAnsi"/>
      <w:szCs w:val="22"/>
      <w:bdr w:val="none" w:sz="0" w:space="0" w:color="auto"/>
      <w:lang w:val="en-GB"/>
    </w:rPr>
  </w:style>
  <w:style w:type="paragraph" w:customStyle="1" w:styleId="Fait">
    <w:name w:val="Fait à"/>
    <w:basedOn w:val="prastasis"/>
    <w:next w:val="Institutionquisigne"/>
    <w:rsid w:val="00FB3B4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jc w:val="both"/>
    </w:pPr>
    <w:rPr>
      <w:rFonts w:eastAsiaTheme="minorHAnsi"/>
      <w:szCs w:val="22"/>
      <w:bdr w:val="none" w:sz="0" w:space="0" w:color="auto"/>
      <w:lang w:val="en-GB"/>
    </w:rPr>
  </w:style>
  <w:style w:type="paragraph" w:customStyle="1" w:styleId="Institutionquisigne">
    <w:name w:val="Institution qui signe"/>
    <w:basedOn w:val="prastasis"/>
    <w:next w:val="prastasis"/>
    <w:rsid w:val="00FB3B4C"/>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4252"/>
      </w:tabs>
      <w:spacing w:before="720"/>
      <w:jc w:val="both"/>
    </w:pPr>
    <w:rPr>
      <w:rFonts w:eastAsiaTheme="minorHAnsi"/>
      <w:i/>
      <w:szCs w:val="22"/>
      <w:bdr w:val="none" w:sz="0" w:space="0" w:color="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EA7709"/>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aliases w:val="Su numeracija,Akapit z listą,Dot pt,F5 List Paragraph,List Paragraph1,Recommendation,List Paragraph11,Numerowanie,Kolorowa lista — akcent 11,Akapit z listą1,Listaszerű bekezdés1,List Paragraph à moi,List Paragraph (numbered (a)),L,列出段落"/>
    <w:link w:val="SraopastraipaDiagrama"/>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 w:type="character" w:customStyle="1" w:styleId="SraopastraipaDiagrama">
    <w:name w:val="Sąrašo pastraipa Diagrama"/>
    <w:aliases w:val="Su numeracija Diagrama,Akapit z listą Diagrama,Dot pt Diagrama,F5 List Paragraph Diagrama,List Paragraph1 Diagrama,Recommendation Diagrama,List Paragraph11 Diagrama,Numerowanie Diagrama,Kolorowa lista — akcent 11 Diagrama"/>
    <w:link w:val="Sraopastraipa"/>
    <w:uiPriority w:val="34"/>
    <w:qFormat/>
    <w:rsid w:val="00AB07FA"/>
    <w:rPr>
      <w:rFonts w:hAnsi="Arial Unicode MS" w:cs="Arial Unicode MS"/>
      <w:color w:val="000000"/>
      <w:sz w:val="24"/>
      <w:szCs w:val="24"/>
      <w:u w:color="000000"/>
    </w:rPr>
  </w:style>
  <w:style w:type="paragraph" w:customStyle="1" w:styleId="ManualNumPar1">
    <w:name w:val="Manual NumPar 1"/>
    <w:basedOn w:val="prastasis"/>
    <w:next w:val="prastasis"/>
    <w:rsid w:val="00FB3B4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hanging="850"/>
      <w:jc w:val="both"/>
    </w:pPr>
    <w:rPr>
      <w:rFonts w:eastAsiaTheme="minorHAnsi"/>
      <w:szCs w:val="22"/>
      <w:bdr w:val="none" w:sz="0" w:space="0" w:color="auto"/>
      <w:lang w:val="en-GB"/>
    </w:rPr>
  </w:style>
  <w:style w:type="paragraph" w:customStyle="1" w:styleId="Fait">
    <w:name w:val="Fait à"/>
    <w:basedOn w:val="prastasis"/>
    <w:next w:val="Institutionquisigne"/>
    <w:rsid w:val="00FB3B4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jc w:val="both"/>
    </w:pPr>
    <w:rPr>
      <w:rFonts w:eastAsiaTheme="minorHAnsi"/>
      <w:szCs w:val="22"/>
      <w:bdr w:val="none" w:sz="0" w:space="0" w:color="auto"/>
      <w:lang w:val="en-GB"/>
    </w:rPr>
  </w:style>
  <w:style w:type="paragraph" w:customStyle="1" w:styleId="Institutionquisigne">
    <w:name w:val="Institution qui signe"/>
    <w:basedOn w:val="prastasis"/>
    <w:next w:val="prastasis"/>
    <w:rsid w:val="00FB3B4C"/>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4252"/>
      </w:tabs>
      <w:spacing w:before="720"/>
      <w:jc w:val="both"/>
    </w:pPr>
    <w:rPr>
      <w:rFonts w:eastAsiaTheme="minorHAnsi"/>
      <w:i/>
      <w:szCs w:val="22"/>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144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57FDD-AC8B-421D-90DB-38E1BDC19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17312</Words>
  <Characters>9869</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Antanaitė</dc:creator>
  <cp:lastModifiedBy>Simona Narkevičienė</cp:lastModifiedBy>
  <cp:revision>2</cp:revision>
  <dcterms:created xsi:type="dcterms:W3CDTF">2021-10-29T11:59:00Z</dcterms:created>
  <dcterms:modified xsi:type="dcterms:W3CDTF">2021-10-29T11:59:00Z</dcterms:modified>
</cp:coreProperties>
</file>