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33C05" w14:paraId="2DFE2213" w14:textId="77777777" w:rsidTr="00433C05">
        <w:trPr>
          <w:cantSplit/>
          <w:trHeight w:val="1079"/>
        </w:trPr>
        <w:tc>
          <w:tcPr>
            <w:tcW w:w="9640" w:type="dxa"/>
            <w:gridSpan w:val="2"/>
            <w:hideMark/>
          </w:tcPr>
          <w:p w14:paraId="4C31CFCF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95" w:dyaOrig="900" w14:anchorId="6E6B27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5pt" o:ole="" fillcolor="window">
                  <v:imagedata r:id="rId6" o:title=""/>
                </v:shape>
                <o:OLEObject Type="Embed" ProgID="Word.Picture.8" ShapeID="_x0000_i1025" DrawAspect="Content" ObjectID="_1688543813" r:id="rId7"/>
              </w:object>
            </w:r>
          </w:p>
        </w:tc>
      </w:tr>
      <w:tr w:rsidR="00433C05" w14:paraId="5BF49D53" w14:textId="77777777" w:rsidTr="00433C05">
        <w:trPr>
          <w:cantSplit/>
          <w:trHeight w:val="397"/>
        </w:trPr>
        <w:tc>
          <w:tcPr>
            <w:tcW w:w="9640" w:type="dxa"/>
            <w:gridSpan w:val="2"/>
            <w:hideMark/>
          </w:tcPr>
          <w:p w14:paraId="096DFFA2" w14:textId="77777777" w:rsidR="00433C05" w:rsidRDefault="00433C0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LIETUVOS RESPUBLIKOS KULTŪROS MINISTERIJA</w:t>
            </w:r>
          </w:p>
        </w:tc>
      </w:tr>
      <w:tr w:rsidR="00433C05" w14:paraId="5919EE3D" w14:textId="77777777" w:rsidTr="00433C05">
        <w:trPr>
          <w:cantSplit/>
          <w:trHeight w:val="312"/>
        </w:trPr>
        <w:tc>
          <w:tcPr>
            <w:tcW w:w="9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130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Biudžetinė įstaiga, J. Basanavičiaus g. 5, LT-01118 Vilnius, tel.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(8 5) 219 3400,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faks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. (8 5) 262 3120, el.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p.dmm@lrkm.lt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.</w:t>
            </w:r>
          </w:p>
          <w:p w14:paraId="26B717D4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Duomenys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kaupiami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saugomi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Juridinių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asmenų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registre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>kodas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GB"/>
              </w:rPr>
              <w:t xml:space="preserve"> 188683671</w:t>
            </w:r>
          </w:p>
        </w:tc>
      </w:tr>
      <w:tr w:rsidR="00433C05" w14:paraId="65734BC5" w14:textId="77777777" w:rsidTr="00433C05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58C46" w14:textId="77777777" w:rsidR="00433C05" w:rsidRDefault="00433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3C05" w14:paraId="3B316E29" w14:textId="77777777" w:rsidTr="00433C05">
        <w:trPr>
          <w:cantSplit/>
        </w:trPr>
        <w:tc>
          <w:tcPr>
            <w:tcW w:w="4820" w:type="dxa"/>
          </w:tcPr>
          <w:p w14:paraId="132EA574" w14:textId="77777777" w:rsidR="00433C05" w:rsidRDefault="00433C05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r13_1_1"/>
                  <w:enabled/>
                  <w:calcOnExit w:val="0"/>
                  <w:statusText w:type="text" w:val="Adresatas"/>
                  <w:textInput>
                    <w:default w:val="Adresatas"/>
                  </w:textInput>
                </w:ffData>
              </w:fldChar>
            </w:r>
            <w:bookmarkStart w:id="0" w:name="r13_1_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Lietuvos Respublikos finansų ministerijai</w:t>
            </w:r>
            <w: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5D49642" w14:textId="65E8BF50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479506C4" w14:textId="14C7FFAD" w:rsidR="00433C05" w:rsidRDefault="00433C05" w:rsidP="00A331A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>
                    <w:default w:val="2012-00-00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="00A331A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202</w:t>
            </w:r>
            <w:r w:rsidR="008D65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-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Nr.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33C05" w14:paraId="42079A14" w14:textId="77777777" w:rsidTr="00433C05">
        <w:trPr>
          <w:cantSplit/>
        </w:trPr>
        <w:tc>
          <w:tcPr>
            <w:tcW w:w="4820" w:type="dxa"/>
          </w:tcPr>
          <w:p w14:paraId="725BF661" w14:textId="340F8169" w:rsidR="00113EB1" w:rsidRDefault="00113EB1">
            <w:pPr>
              <w:tabs>
                <w:tab w:val="left" w:pos="61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D07DF20" w14:textId="77777777" w:rsidR="00433C05" w:rsidRDefault="00433C05">
            <w:pPr>
              <w:tabs>
                <w:tab w:val="left" w:pos="198"/>
                <w:tab w:val="left" w:pos="2126"/>
                <w:tab w:val="left" w:pos="29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C05" w14:paraId="2431424D" w14:textId="77777777" w:rsidTr="00433C05">
        <w:trPr>
          <w:cantSplit/>
        </w:trPr>
        <w:tc>
          <w:tcPr>
            <w:tcW w:w="9640" w:type="dxa"/>
            <w:gridSpan w:val="2"/>
            <w:hideMark/>
          </w:tcPr>
          <w:p w14:paraId="38AEC7BC" w14:textId="41DFF377" w:rsidR="00E6494C" w:rsidRPr="009470FF" w:rsidRDefault="008D6598" w:rsidP="009470FF">
            <w:pPr>
              <w:tabs>
                <w:tab w:val="left" w:pos="61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bookmarkStart w:id="1" w:name="r17"/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DĖL LĖŠŲ SKYRIMO </w:t>
            </w:r>
            <w:r w:rsidR="00422702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PETRO BINGELIO 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LAIDOJIMO IŠLAIDOMS PADENGTI</w:t>
            </w:r>
            <w:r>
              <w:fldChar w:fldCharType="end"/>
            </w:r>
            <w:bookmarkEnd w:id="1"/>
          </w:p>
        </w:tc>
      </w:tr>
      <w:tr w:rsidR="00433C05" w14:paraId="171B3201" w14:textId="77777777" w:rsidTr="00433C05">
        <w:trPr>
          <w:cantSplit/>
        </w:trPr>
        <w:tc>
          <w:tcPr>
            <w:tcW w:w="9640" w:type="dxa"/>
            <w:gridSpan w:val="2"/>
          </w:tcPr>
          <w:p w14:paraId="10C956FF" w14:textId="3E31A8FF" w:rsidR="00113EB1" w:rsidRDefault="00113E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2029FB" w14:textId="77777777" w:rsidR="00A837ED" w:rsidRDefault="00A837ED" w:rsidP="00727FE6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A934DBD" w14:textId="395AB535" w:rsidR="00727FE6" w:rsidRPr="004F42CC" w:rsidRDefault="00422702" w:rsidP="00334095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F42CC">
        <w:rPr>
          <w:rFonts w:ascii="Times New Roman" w:hAnsi="Times New Roman" w:cs="Times New Roman"/>
          <w:sz w:val="24"/>
          <w:szCs w:val="24"/>
        </w:rPr>
        <w:t>2020</w:t>
      </w:r>
      <w:r w:rsidR="008D6598" w:rsidRPr="004F42CC">
        <w:rPr>
          <w:rFonts w:ascii="Times New Roman" w:hAnsi="Times New Roman" w:cs="Times New Roman"/>
          <w:sz w:val="24"/>
          <w:szCs w:val="24"/>
        </w:rPr>
        <w:t xml:space="preserve"> m</w:t>
      </w:r>
      <w:r w:rsidRPr="004F42CC">
        <w:rPr>
          <w:rFonts w:ascii="Times New Roman" w:hAnsi="Times New Roman" w:cs="Times New Roman"/>
          <w:sz w:val="24"/>
          <w:szCs w:val="24"/>
        </w:rPr>
        <w:t xml:space="preserve">. </w:t>
      </w:r>
      <w:r w:rsidR="00642DF8" w:rsidRPr="004F42CC">
        <w:rPr>
          <w:rFonts w:ascii="Times New Roman" w:hAnsi="Times New Roman" w:cs="Times New Roman"/>
          <w:sz w:val="24"/>
          <w:szCs w:val="24"/>
        </w:rPr>
        <w:t>gruodžio 6</w:t>
      </w:r>
      <w:r w:rsidR="00727FE6" w:rsidRPr="004F42CC">
        <w:rPr>
          <w:rFonts w:ascii="Times New Roman" w:eastAsia="Times New Roman" w:hAnsi="Times New Roman" w:cs="Times New Roman"/>
          <w:sz w:val="24"/>
          <w:szCs w:val="24"/>
        </w:rPr>
        <w:t xml:space="preserve"> d., eidamas </w:t>
      </w:r>
      <w:r w:rsidR="00642DF8" w:rsidRPr="004F42C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72ACD" w:rsidRPr="004F42CC">
        <w:rPr>
          <w:rFonts w:ascii="Times New Roman" w:eastAsia="Times New Roman" w:hAnsi="Times New Roman" w:cs="Times New Roman"/>
          <w:sz w:val="24"/>
          <w:szCs w:val="24"/>
        </w:rPr>
        <w:t>8</w:t>
      </w:r>
      <w:r w:rsidR="00727FE6" w:rsidRPr="004F42CC">
        <w:rPr>
          <w:rFonts w:ascii="Times New Roman" w:eastAsia="Times New Roman" w:hAnsi="Times New Roman" w:cs="Times New Roman"/>
          <w:sz w:val="24"/>
          <w:szCs w:val="24"/>
        </w:rPr>
        <w:t>-uosius metus</w:t>
      </w:r>
      <w:r w:rsidR="00642DF8" w:rsidRPr="004F42CC">
        <w:rPr>
          <w:rFonts w:ascii="Times New Roman" w:eastAsia="Times New Roman" w:hAnsi="Times New Roman" w:cs="Times New Roman"/>
          <w:sz w:val="24"/>
          <w:szCs w:val="24"/>
        </w:rPr>
        <w:t xml:space="preserve">, mirė </w:t>
      </w:r>
      <w:r w:rsidR="00642DF8"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choro ir orkestro dirigentas, </w:t>
      </w:r>
      <w:r w:rsidR="00642DF8" w:rsidRPr="004F42CC">
        <w:rPr>
          <w:rFonts w:ascii="Times New Roman" w:eastAsia="Times New Roman" w:hAnsi="Times New Roman" w:cs="Times New Roman"/>
          <w:sz w:val="24"/>
          <w:szCs w:val="24"/>
        </w:rPr>
        <w:t xml:space="preserve">Lietuvos nacionalinės kultūros ir meno </w:t>
      </w:r>
      <w:r w:rsidR="00642DF8" w:rsidRPr="004F42CC">
        <w:rPr>
          <w:rFonts w:ascii="Times New Roman" w:hAnsi="Times New Roman" w:cs="Times New Roman"/>
          <w:sz w:val="24"/>
          <w:szCs w:val="24"/>
        </w:rPr>
        <w:t>premijos</w:t>
      </w:r>
      <w:r w:rsidR="00642DF8" w:rsidRPr="004F42CC">
        <w:rPr>
          <w:rFonts w:ascii="Times New Roman" w:eastAsia="Times New Roman" w:hAnsi="Times New Roman" w:cs="Times New Roman"/>
          <w:sz w:val="24"/>
          <w:szCs w:val="24"/>
        </w:rPr>
        <w:t xml:space="preserve"> laureatas</w:t>
      </w:r>
      <w:r w:rsidR="004F42CC" w:rsidRPr="004F42CC">
        <w:rPr>
          <w:rFonts w:ascii="Times New Roman" w:eastAsia="Times New Roman" w:hAnsi="Times New Roman" w:cs="Times New Roman"/>
          <w:sz w:val="24"/>
          <w:szCs w:val="24"/>
        </w:rPr>
        <w:t>, profesorius</w:t>
      </w:r>
      <w:r w:rsidR="00642DF8" w:rsidRPr="004F42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2DF8"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>Petras Bingelis</w:t>
      </w:r>
      <w:r w:rsidR="00727FE6" w:rsidRPr="004F42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B3BE52" w14:textId="24C076E2" w:rsidR="00253190" w:rsidRPr="004F42CC" w:rsidRDefault="00642DF8" w:rsidP="00334095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>Petr</w:t>
      </w:r>
      <w:r w:rsidR="004F42CC"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Bingeli</w:t>
      </w:r>
      <w:r w:rsidR="004F42CC"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4F4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42CC" w:rsidRPr="004F42C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nuopelnai Lietuvos muzikinei kultūrai išskirtiniai: dirigentas prikėlė žymiausius lietuvių kompozitorių kūrinius, keletą dešimtmečių buvo į UNESCO įtrauktų mūsų dainų švenčių vyriausiuoju dirigentu ir meno vadovu, išugdė gražų būrį jaunųjų dirigentų.</w:t>
      </w:r>
    </w:p>
    <w:p w14:paraId="17BC941A" w14:textId="612A2578" w:rsidR="00072ACD" w:rsidRDefault="002C2F3C" w:rsidP="00334095">
      <w:pPr>
        <w:tabs>
          <w:tab w:val="center" w:pos="4153"/>
          <w:tab w:val="right" w:pos="830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Petras Bingelis </w:t>
      </w:r>
      <w:r w:rsidR="00072ACD" w:rsidRPr="00072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apdovanotas </w:t>
      </w:r>
      <w:r w:rsidR="002941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1993 metais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 xml:space="preserve">Lietuvos nacionaline kultūros ir meno </w:t>
      </w:r>
      <w:r w:rsidR="00294102" w:rsidRPr="002E72B9">
        <w:rPr>
          <w:rFonts w:ascii="Times New Roman" w:hAnsi="Times New Roman" w:cs="Times New Roman"/>
          <w:sz w:val="24"/>
        </w:rPr>
        <w:t>premij</w:t>
      </w:r>
      <w:r w:rsidR="00294102">
        <w:rPr>
          <w:rFonts w:ascii="Times New Roman" w:hAnsi="Times New Roman" w:cs="Times New Roman"/>
          <w:sz w:val="24"/>
        </w:rPr>
        <w:t>a,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09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l</w:t>
      </w:r>
      <w:r w:rsidR="00072ACD" w:rsidRPr="00072ACD">
        <w:rPr>
          <w:rFonts w:ascii="Times New Roman" w:hAnsi="Times New Roman" w:cs="Times New Roman"/>
          <w:sz w:val="24"/>
          <w:szCs w:val="24"/>
          <w:shd w:val="clear" w:color="auto" w:fill="FEFEFE"/>
        </w:rPr>
        <w:t>99</w:t>
      </w:r>
      <w:r w:rsidR="00642DF8">
        <w:rPr>
          <w:rFonts w:ascii="Times New Roman" w:hAnsi="Times New Roman" w:cs="Times New Roman"/>
          <w:sz w:val="24"/>
          <w:szCs w:val="24"/>
          <w:shd w:val="clear" w:color="auto" w:fill="FEFEFE"/>
        </w:rPr>
        <w:t>5</w:t>
      </w:r>
      <w:r w:rsidR="00072ACD" w:rsidRPr="00072ACD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metais Lietuvos didžiojo kunigaikščio Gedimino ordino Karininko kryžiumi</w:t>
      </w:r>
      <w:r w:rsidR="00072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72ACD" w:rsidRPr="00072ACD">
        <w:rPr>
          <w:rFonts w:ascii="Times New Roman" w:hAnsi="Times New Roman" w:cs="Times New Roman"/>
          <w:sz w:val="24"/>
          <w:szCs w:val="24"/>
          <w:shd w:val="clear" w:color="auto" w:fill="FFFFFF"/>
        </w:rPr>
        <w:t>200</w:t>
      </w:r>
      <w:r w:rsidR="00642DF8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072ACD" w:rsidRPr="00072A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metais </w:t>
      </w:r>
      <w:r w:rsidR="00642DF8">
        <w:rPr>
          <w:rFonts w:ascii="Times New Roman" w:eastAsia="Times New Roman" w:hAnsi="Times New Roman" w:cs="Times New Roman"/>
          <w:sz w:val="24"/>
          <w:szCs w:val="24"/>
        </w:rPr>
        <w:t xml:space="preserve">ordino „Už nuopelnus Lietuvai“ Komandoro didžiuoju kryžiumi, </w:t>
      </w:r>
      <w:r w:rsidR="007C23AB">
        <w:rPr>
          <w:rFonts w:ascii="Times New Roman" w:eastAsia="Times New Roman" w:hAnsi="Times New Roman" w:cs="Times New Roman"/>
          <w:sz w:val="24"/>
          <w:szCs w:val="24"/>
        </w:rPr>
        <w:t xml:space="preserve">2004 metais išrinktas įsimintiniausiu Kauno menininku, 2005 metais įteiktas 1-ojo laipsnio </w:t>
      </w:r>
      <w:r w:rsidR="00334095">
        <w:rPr>
          <w:rFonts w:ascii="Times New Roman" w:eastAsia="Times New Roman" w:hAnsi="Times New Roman" w:cs="Times New Roman"/>
          <w:sz w:val="24"/>
          <w:szCs w:val="24"/>
        </w:rPr>
        <w:t>S</w:t>
      </w:r>
      <w:r w:rsidR="007C23AB">
        <w:rPr>
          <w:rFonts w:ascii="Times New Roman" w:eastAsia="Times New Roman" w:hAnsi="Times New Roman" w:cs="Times New Roman"/>
          <w:sz w:val="24"/>
          <w:szCs w:val="24"/>
        </w:rPr>
        <w:t xml:space="preserve">antakos garbės ženklas, </w:t>
      </w:r>
      <w:r w:rsidR="00C54BEE">
        <w:rPr>
          <w:rFonts w:ascii="Times New Roman" w:eastAsia="Times New Roman" w:hAnsi="Times New Roman" w:cs="Times New Roman"/>
          <w:sz w:val="24"/>
          <w:szCs w:val="24"/>
        </w:rPr>
        <w:t xml:space="preserve">2008 metais išrinktas Kauno miesto garbės piliečiu, 2009 metais įteiktas „Auksinės krivūlės“ riterio ženklas, </w:t>
      </w:r>
      <w:r w:rsidR="007C23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54BEE">
        <w:rPr>
          <w:rFonts w:ascii="Times New Roman" w:eastAsia="Times New Roman" w:hAnsi="Times New Roman" w:cs="Times New Roman"/>
          <w:sz w:val="24"/>
          <w:szCs w:val="24"/>
        </w:rPr>
        <w:t>13</w:t>
      </w:r>
      <w:r w:rsidR="007C23AB">
        <w:rPr>
          <w:rFonts w:ascii="Times New Roman" w:eastAsia="Times New Roman" w:hAnsi="Times New Roman" w:cs="Times New Roman"/>
          <w:sz w:val="24"/>
          <w:szCs w:val="24"/>
        </w:rPr>
        <w:t xml:space="preserve"> metais </w:t>
      </w:r>
      <w:r w:rsidR="00C54BEE">
        <w:rPr>
          <w:rFonts w:ascii="Times New Roman" w:eastAsia="Times New Roman" w:hAnsi="Times New Roman" w:cs="Times New Roman"/>
          <w:sz w:val="24"/>
          <w:szCs w:val="24"/>
        </w:rPr>
        <w:t xml:space="preserve">Lietuvos Respublikos kultūros ministerijos garbės ženklas „Nešk savo šviesą ir tikėk“, </w:t>
      </w:r>
      <w:r w:rsidR="00642DF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42DF8">
        <w:rPr>
          <w:rFonts w:ascii="Times New Roman" w:eastAsia="Times New Roman" w:hAnsi="Times New Roman" w:cs="Times New Roman"/>
          <w:sz w:val="24"/>
          <w:szCs w:val="24"/>
        </w:rPr>
        <w:t xml:space="preserve"> metais</w:t>
      </w:r>
      <w:r w:rsidR="00C54BEE">
        <w:rPr>
          <w:rFonts w:ascii="Times New Roman" w:eastAsia="Times New Roman" w:hAnsi="Times New Roman" w:cs="Times New Roman"/>
          <w:sz w:val="24"/>
          <w:szCs w:val="24"/>
        </w:rPr>
        <w:t xml:space="preserve"> apdovanotas</w:t>
      </w:r>
      <w:r w:rsidR="00642D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ordino „Už nuopelnus Lietuvai“ Didžiuoju kryžiumi.</w:t>
      </w:r>
    </w:p>
    <w:p w14:paraId="47DBBDBC" w14:textId="6783939F" w:rsidR="008D6598" w:rsidRPr="008D6598" w:rsidRDefault="008D6598" w:rsidP="00334095">
      <w:pPr>
        <w:ind w:right="-15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Vadovaudamiesi 2003 m. kovo 18 d. LR Vyriausybės nutarimu Nr. 323 „Dėl žymių Lietuvos visuomenės veikėjų ir pagal LR įstatymus valstybės lėšomis laidojamų asmenų laidojimo išlaidų dengimo taisyklių“ ir įvertindami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Lietuvos nacionalinės</w:t>
      </w:r>
      <w:r w:rsidR="00072ACD">
        <w:rPr>
          <w:rFonts w:ascii="Times New Roman" w:hAnsi="Times New Roman" w:cs="Times New Roman"/>
          <w:sz w:val="24"/>
          <w:szCs w:val="24"/>
        </w:rPr>
        <w:t xml:space="preserve"> kultūros ir meno </w:t>
      </w:r>
      <w:r w:rsidR="00727FE6">
        <w:rPr>
          <w:rFonts w:ascii="Times New Roman" w:hAnsi="Times New Roman" w:cs="Times New Roman"/>
          <w:sz w:val="24"/>
          <w:szCs w:val="24"/>
        </w:rPr>
        <w:t xml:space="preserve">premijos laureato,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Lietuvos didžiojo kunigaikščio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>Gedimino ordino K</w:t>
      </w:r>
      <w:r w:rsidR="00072ACD">
        <w:rPr>
          <w:rFonts w:ascii="Times New Roman" w:eastAsia="Times New Roman" w:hAnsi="Times New Roman" w:cs="Times New Roman"/>
          <w:sz w:val="24"/>
          <w:szCs w:val="24"/>
        </w:rPr>
        <w:t>arininko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7FE6" w:rsidRP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kryžiumi</w:t>
      </w:r>
      <w:r w:rsidR="0029410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ordino „Už nuopelnus Lietuvai“ Komandoro didžiuoju kryžiumi</w:t>
      </w:r>
      <w:r w:rsidR="00334095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294102">
        <w:rPr>
          <w:rFonts w:ascii="Times New Roman" w:eastAsia="Times New Roman" w:hAnsi="Times New Roman" w:cs="Times New Roman"/>
          <w:sz w:val="24"/>
          <w:szCs w:val="24"/>
        </w:rPr>
        <w:t>ordino „Už nuopelnus Lietuvai“ Didžiuoju kryžiumi</w:t>
      </w:r>
      <w:r w:rsidR="00727FE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27FE6">
        <w:rPr>
          <w:rFonts w:ascii="Times New Roman" w:hAnsi="Times New Roman" w:cs="Times New Roman"/>
          <w:sz w:val="24"/>
          <w:szCs w:val="24"/>
        </w:rPr>
        <w:t xml:space="preserve">apdovanoto </w:t>
      </w:r>
      <w:r w:rsidR="00294102">
        <w:rPr>
          <w:rFonts w:ascii="Times New Roman" w:hAnsi="Times New Roman" w:cs="Times New Roman"/>
          <w:sz w:val="24"/>
          <w:szCs w:val="24"/>
        </w:rPr>
        <w:t xml:space="preserve">Petro Bingelio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nuopelnus Lietuvos kultūrai, prašome skirti lėšas jo laidojimo išlaidoms padengti.</w:t>
      </w:r>
    </w:p>
    <w:p w14:paraId="540AB547" w14:textId="77777777" w:rsidR="008D6598" w:rsidRPr="008D6598" w:rsidRDefault="008D6598" w:rsidP="00334095">
      <w:pPr>
        <w:spacing w:after="0"/>
        <w:ind w:right="43"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>PRIDEDAMA:</w:t>
      </w:r>
    </w:p>
    <w:p w14:paraId="39D958C8" w14:textId="3321D331" w:rsidR="008D6598" w:rsidRPr="008D6598" w:rsidRDefault="008D6598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1. Žymių Lietuvos visuomenės veikėjų ir pagal Lietuvos Respublikos valstybės lėšomis laidojamų asmenų laidojimo komisijos elektroninės apklausos 2021 m.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liepos 23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d. posėdžio protokolo Nr.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072AC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072AC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22FD163" w14:textId="64029E2E" w:rsidR="008D6598" w:rsidRPr="008D6598" w:rsidRDefault="008D6598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2. Kultūros ministerijos patvirtinta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 xml:space="preserve">Petro Bingelio 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>aidojimo išlaidų sąmata, 1 lapas;</w:t>
      </w:r>
    </w:p>
    <w:p w14:paraId="57869197" w14:textId="2A7E3537" w:rsidR="00186CBE" w:rsidRDefault="008D6598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 xml:space="preserve">Koncertinės įstaigos Kauno valstybinės filharmonijos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2021 m.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liepos 22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prašymo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SD-038</w:t>
      </w:r>
      <w:r w:rsidR="00847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„Dėl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laidojimo išlaidų kompensavimo“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kopija, 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D6598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2C2F3C">
        <w:rPr>
          <w:rFonts w:ascii="Times New Roman" w:eastAsia="Times New Roman" w:hAnsi="Times New Roman" w:cs="Times New Roman"/>
          <w:sz w:val="24"/>
          <w:szCs w:val="24"/>
        </w:rPr>
        <w:t>s</w:t>
      </w:r>
      <w:r w:rsidR="00186CBE" w:rsidRPr="008400E8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6CC372D" w14:textId="0C860155" w:rsidR="002C2F3C" w:rsidRDefault="002C2F3C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Koncertinės įstaigos Kauno valstybinės filharmonijos patvirtinta laidojimo išlaidų sąmatos kopija, 1 lapas;</w:t>
      </w:r>
    </w:p>
    <w:p w14:paraId="2F93B8C5" w14:textId="6B770B6C" w:rsidR="00422702" w:rsidRPr="00847F6F" w:rsidRDefault="002C2F3C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EE5BD1" w:rsidRPr="00847F6F">
        <w:rPr>
          <w:rFonts w:ascii="Times New Roman" w:eastAsia="Times New Roman" w:hAnsi="Times New Roman" w:cs="Times New Roman"/>
          <w:sz w:val="24"/>
          <w:szCs w:val="24"/>
        </w:rPr>
        <w:t>.</w:t>
      </w:r>
      <w:r w:rsidR="00DE2D80" w:rsidRPr="00847F6F">
        <w:t xml:space="preserve"> </w:t>
      </w:r>
      <w:r w:rsidR="00422702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422702">
        <w:rPr>
          <w:rFonts w:ascii="Times New Roman" w:hAnsi="Times New Roman" w:cs="Times New Roman"/>
          <w:sz w:val="24"/>
          <w:szCs w:val="24"/>
        </w:rPr>
        <w:t>Dorovalė</w:t>
      </w:r>
      <w:proofErr w:type="spellEnd"/>
      <w:r w:rsidR="00422702">
        <w:rPr>
          <w:rFonts w:ascii="Times New Roman" w:hAnsi="Times New Roman" w:cs="Times New Roman"/>
          <w:sz w:val="24"/>
          <w:szCs w:val="24"/>
        </w:rPr>
        <w:t>“</w:t>
      </w:r>
      <w:r w:rsidR="00072ACD" w:rsidRPr="008D6598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2ACD" w:rsidRPr="008D6598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gruodžio 7</w:t>
      </w:r>
      <w:r w:rsidR="00072ACD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422702" w:rsidRPr="00847F6F">
        <w:rPr>
          <w:rFonts w:ascii="Times New Roman" w:eastAsia="Times New Roman" w:hAnsi="Times New Roman" w:cs="Times New Roman"/>
          <w:sz w:val="24"/>
          <w:szCs w:val="24"/>
        </w:rPr>
        <w:t xml:space="preserve">PVM sąskaitos faktūros Serija 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VVV</w:t>
      </w:r>
      <w:r w:rsidR="00422702" w:rsidRPr="00847F6F">
        <w:rPr>
          <w:rFonts w:ascii="Times New Roman" w:eastAsia="Times New Roman" w:hAnsi="Times New Roman" w:cs="Times New Roman"/>
          <w:sz w:val="24"/>
          <w:szCs w:val="24"/>
        </w:rPr>
        <w:t xml:space="preserve"> Nr. 20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/87</w:t>
      </w:r>
      <w:r w:rsidR="00422702" w:rsidRPr="00847F6F">
        <w:rPr>
          <w:rFonts w:ascii="Times New Roman" w:eastAsia="Times New Roman" w:hAnsi="Times New Roman" w:cs="Times New Roman"/>
          <w:sz w:val="24"/>
          <w:szCs w:val="24"/>
        </w:rPr>
        <w:t xml:space="preserve"> kopija, 1 lapas</w:t>
      </w:r>
      <w:r w:rsidR="004C1DA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E170DC5" w14:textId="1C9DFA29" w:rsidR="00847F6F" w:rsidRPr="00847F6F" w:rsidRDefault="002C2F3C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DE2D80" w:rsidRPr="00847F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>UAB „</w:t>
      </w:r>
      <w:proofErr w:type="spellStart"/>
      <w:r w:rsidR="00422702">
        <w:rPr>
          <w:rFonts w:ascii="Times New Roman" w:eastAsia="Times New Roman" w:hAnsi="Times New Roman" w:cs="Times New Roman"/>
          <w:sz w:val="24"/>
          <w:szCs w:val="24"/>
        </w:rPr>
        <w:t>Respekta</w:t>
      </w:r>
      <w:proofErr w:type="spellEnd"/>
      <w:r w:rsidR="0042270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 xml:space="preserve"> 2021 m. 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liepos 22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 xml:space="preserve"> d. PVM sąskaitos faktūros Serija 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RESP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 xml:space="preserve"> Nr. 20</w:t>
      </w:r>
      <w:r w:rsidR="00422702">
        <w:rPr>
          <w:rFonts w:ascii="Times New Roman" w:eastAsia="Times New Roman" w:hAnsi="Times New Roman" w:cs="Times New Roman"/>
          <w:sz w:val="24"/>
          <w:szCs w:val="24"/>
        </w:rPr>
        <w:t>00633</w:t>
      </w:r>
      <w:r w:rsidR="00847F6F" w:rsidRPr="00847F6F">
        <w:rPr>
          <w:rFonts w:ascii="Times New Roman" w:eastAsia="Times New Roman" w:hAnsi="Times New Roman" w:cs="Times New Roman"/>
          <w:sz w:val="24"/>
          <w:szCs w:val="24"/>
        </w:rPr>
        <w:t xml:space="preserve"> kopija, 1 lapas. </w:t>
      </w:r>
    </w:p>
    <w:p w14:paraId="1CB9FE2C" w14:textId="0BA680B2" w:rsidR="00A837ED" w:rsidRDefault="00A837ED" w:rsidP="00334095">
      <w:pPr>
        <w:spacing w:after="0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636C2" w14:textId="729F7DBA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A72CD2" w14:textId="1F220124" w:rsidR="00E16416" w:rsidRDefault="004F42CC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Profesionaliosios kūrybos ir tarptautiškumo politikos grupės </w:t>
      </w:r>
      <w:r w:rsidR="007C23AB">
        <w:rPr>
          <w:rFonts w:ascii="Times New Roman" w:eastAsia="Times New Roman" w:hAnsi="Times New Roman" w:cs="Times New Roman"/>
          <w:sz w:val="24"/>
          <w:szCs w:val="24"/>
        </w:rPr>
        <w:tab/>
      </w:r>
      <w:r w:rsidR="00E1641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4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Janina Krušinskaitė</w:t>
      </w:r>
      <w:r w:rsidR="00E16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E8D714" w14:textId="141123D7" w:rsidR="00E16416" w:rsidRDefault="007C23AB" w:rsidP="004F42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vadovė, </w:t>
      </w:r>
      <w:r w:rsidR="004F42CC">
        <w:rPr>
          <w:rFonts w:ascii="Times New Roman" w:eastAsia="Times New Roman" w:hAnsi="Times New Roman" w:cs="Times New Roman"/>
          <w:sz w:val="24"/>
          <w:szCs w:val="24"/>
        </w:rPr>
        <w:t>atliekanti ministerijos kanclerio funkcij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</w:p>
    <w:p w14:paraId="540A30BE" w14:textId="2658B14E" w:rsidR="00E16416" w:rsidRDefault="00E16416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B521" w14:textId="77777777" w:rsidR="00A837ED" w:rsidRDefault="00A837ED" w:rsidP="00E16416">
      <w:pPr>
        <w:spacing w:after="0" w:line="240" w:lineRule="auto"/>
        <w:ind w:firstLine="11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2AEC8F" w14:textId="294BB543" w:rsidR="00E16416" w:rsidRDefault="00E16416" w:rsidP="00E16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Giedrė Beniušytė, tel. +370</w:t>
      </w:r>
      <w:r w:rsidRPr="0010053F">
        <w:rPr>
          <w:rFonts w:ascii="Times New Roman" w:eastAsia="Times New Roman" w:hAnsi="Times New Roman" w:cs="Times New Roman"/>
          <w:sz w:val="24"/>
          <w:szCs w:val="24"/>
        </w:rPr>
        <w:t xml:space="preserve"> 608 45605, </w:t>
      </w:r>
      <w:hyperlink r:id="rId8" w:history="1">
        <w:r w:rsidRPr="00B80A98">
          <w:rPr>
            <w:rStyle w:val="Hipersaitas"/>
            <w:rFonts w:ascii="Times New Roman" w:eastAsia="Times New Roman" w:hAnsi="Times New Roman" w:cs="Times New Roman"/>
            <w:sz w:val="24"/>
            <w:szCs w:val="24"/>
          </w:rPr>
          <w:t>el.p.giedre.beniusyte@lrkm.lt</w:t>
        </w:r>
      </w:hyperlink>
    </w:p>
    <w:sectPr w:rsidR="00E16416" w:rsidSect="00E6494C">
      <w:pgSz w:w="11906" w:h="16838" w:code="9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75982"/>
    <w:multiLevelType w:val="hybridMultilevel"/>
    <w:tmpl w:val="7212C08A"/>
    <w:lvl w:ilvl="0" w:tplc="5D167672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1" w15:restartNumberingAfterBreak="0">
    <w:nsid w:val="63601D49"/>
    <w:multiLevelType w:val="hybridMultilevel"/>
    <w:tmpl w:val="CFA8D912"/>
    <w:lvl w:ilvl="0" w:tplc="4E6E53DE">
      <w:start w:val="1"/>
      <w:numFmt w:val="upperLetter"/>
      <w:lvlText w:val="%1."/>
      <w:lvlJc w:val="left"/>
      <w:pPr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6AB2750E"/>
    <w:multiLevelType w:val="multilevel"/>
    <w:tmpl w:val="DEFE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05"/>
    <w:rsid w:val="0006457E"/>
    <w:rsid w:val="00072ACD"/>
    <w:rsid w:val="0007630F"/>
    <w:rsid w:val="0009105A"/>
    <w:rsid w:val="000A721F"/>
    <w:rsid w:val="000B6908"/>
    <w:rsid w:val="0010053F"/>
    <w:rsid w:val="00113EB1"/>
    <w:rsid w:val="00125780"/>
    <w:rsid w:val="00160555"/>
    <w:rsid w:val="00186CBE"/>
    <w:rsid w:val="001B0988"/>
    <w:rsid w:val="001B7F13"/>
    <w:rsid w:val="00253190"/>
    <w:rsid w:val="00255574"/>
    <w:rsid w:val="00287015"/>
    <w:rsid w:val="00294102"/>
    <w:rsid w:val="002C2F3C"/>
    <w:rsid w:val="002C3CEE"/>
    <w:rsid w:val="00303797"/>
    <w:rsid w:val="0033278F"/>
    <w:rsid w:val="00334095"/>
    <w:rsid w:val="00355CD4"/>
    <w:rsid w:val="00365CB2"/>
    <w:rsid w:val="0037441E"/>
    <w:rsid w:val="003B7121"/>
    <w:rsid w:val="003B7884"/>
    <w:rsid w:val="003E39AE"/>
    <w:rsid w:val="003F134E"/>
    <w:rsid w:val="0042103C"/>
    <w:rsid w:val="00422702"/>
    <w:rsid w:val="00433C05"/>
    <w:rsid w:val="004A1415"/>
    <w:rsid w:val="004C1DA1"/>
    <w:rsid w:val="004C2966"/>
    <w:rsid w:val="004E18E5"/>
    <w:rsid w:val="004F09D7"/>
    <w:rsid w:val="004F42CC"/>
    <w:rsid w:val="00525080"/>
    <w:rsid w:val="00525CEC"/>
    <w:rsid w:val="00565964"/>
    <w:rsid w:val="0057453B"/>
    <w:rsid w:val="005B0359"/>
    <w:rsid w:val="005C3837"/>
    <w:rsid w:val="005E5B1B"/>
    <w:rsid w:val="00600262"/>
    <w:rsid w:val="006257FD"/>
    <w:rsid w:val="00642DF8"/>
    <w:rsid w:val="00664263"/>
    <w:rsid w:val="006B31A2"/>
    <w:rsid w:val="006E4AF2"/>
    <w:rsid w:val="007065C7"/>
    <w:rsid w:val="00727FE6"/>
    <w:rsid w:val="00752C60"/>
    <w:rsid w:val="00762F0D"/>
    <w:rsid w:val="0078523A"/>
    <w:rsid w:val="007912BC"/>
    <w:rsid w:val="00792A5B"/>
    <w:rsid w:val="00797BFF"/>
    <w:rsid w:val="007A4778"/>
    <w:rsid w:val="007C23AB"/>
    <w:rsid w:val="007E5365"/>
    <w:rsid w:val="007F70A6"/>
    <w:rsid w:val="00803376"/>
    <w:rsid w:val="0081714F"/>
    <w:rsid w:val="008400E8"/>
    <w:rsid w:val="00847918"/>
    <w:rsid w:val="00847F6F"/>
    <w:rsid w:val="00874D95"/>
    <w:rsid w:val="00897C8B"/>
    <w:rsid w:val="008A0177"/>
    <w:rsid w:val="008D6598"/>
    <w:rsid w:val="009119A1"/>
    <w:rsid w:val="00915BFE"/>
    <w:rsid w:val="009354DB"/>
    <w:rsid w:val="009470FF"/>
    <w:rsid w:val="00960334"/>
    <w:rsid w:val="009712CB"/>
    <w:rsid w:val="00973B50"/>
    <w:rsid w:val="009A701E"/>
    <w:rsid w:val="009B4008"/>
    <w:rsid w:val="009C40D9"/>
    <w:rsid w:val="009C60C6"/>
    <w:rsid w:val="009F3C7A"/>
    <w:rsid w:val="009F451C"/>
    <w:rsid w:val="00A27DB8"/>
    <w:rsid w:val="00A331A5"/>
    <w:rsid w:val="00A53AA2"/>
    <w:rsid w:val="00A657DC"/>
    <w:rsid w:val="00A67F7E"/>
    <w:rsid w:val="00A837ED"/>
    <w:rsid w:val="00A852DC"/>
    <w:rsid w:val="00A96AC0"/>
    <w:rsid w:val="00AB16C0"/>
    <w:rsid w:val="00AB3FE0"/>
    <w:rsid w:val="00AC1489"/>
    <w:rsid w:val="00AF0220"/>
    <w:rsid w:val="00AF19B9"/>
    <w:rsid w:val="00B56D1E"/>
    <w:rsid w:val="00B740B8"/>
    <w:rsid w:val="00BD7F6A"/>
    <w:rsid w:val="00BF0B02"/>
    <w:rsid w:val="00BF5643"/>
    <w:rsid w:val="00C26255"/>
    <w:rsid w:val="00C379A2"/>
    <w:rsid w:val="00C42C19"/>
    <w:rsid w:val="00C4461E"/>
    <w:rsid w:val="00C54BEE"/>
    <w:rsid w:val="00C8522C"/>
    <w:rsid w:val="00C929E5"/>
    <w:rsid w:val="00C93C25"/>
    <w:rsid w:val="00CD3C17"/>
    <w:rsid w:val="00CE1E6D"/>
    <w:rsid w:val="00D020EC"/>
    <w:rsid w:val="00D04A34"/>
    <w:rsid w:val="00D13DF4"/>
    <w:rsid w:val="00D50D19"/>
    <w:rsid w:val="00D8476C"/>
    <w:rsid w:val="00D961AB"/>
    <w:rsid w:val="00DA2683"/>
    <w:rsid w:val="00DA5D79"/>
    <w:rsid w:val="00DB14A3"/>
    <w:rsid w:val="00DC5CC0"/>
    <w:rsid w:val="00DD4B9B"/>
    <w:rsid w:val="00DE2D80"/>
    <w:rsid w:val="00DF77C2"/>
    <w:rsid w:val="00E02DB5"/>
    <w:rsid w:val="00E16416"/>
    <w:rsid w:val="00E42E16"/>
    <w:rsid w:val="00E56428"/>
    <w:rsid w:val="00E6494C"/>
    <w:rsid w:val="00ED50C2"/>
    <w:rsid w:val="00EE2608"/>
    <w:rsid w:val="00EE5BD1"/>
    <w:rsid w:val="00F10C3B"/>
    <w:rsid w:val="00F43326"/>
    <w:rsid w:val="00F53BC5"/>
    <w:rsid w:val="00F71111"/>
    <w:rsid w:val="00FA2A0D"/>
    <w:rsid w:val="00FF508D"/>
    <w:rsid w:val="00FF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627AF"/>
  <w15:docId w15:val="{E9391A10-34C8-417F-B574-EE01502C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C0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EE260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rauka">
    <w:name w:val="istrauka"/>
    <w:basedOn w:val="prastasis"/>
    <w:rsid w:val="00EE2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rsid w:val="003B712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B690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6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6AC0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semiHidden/>
    <w:unhideWhenUsed/>
    <w:rsid w:val="00072A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semiHidden/>
    <w:rsid w:val="00072AC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p.giedre.beniusyte@lrkm.l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265B-61B8-4416-AA29-6BFD3ED6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2019</Words>
  <Characters>1152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Beniušytė</dc:creator>
  <cp:lastModifiedBy>Giedrė Beniušytė</cp:lastModifiedBy>
  <cp:revision>2</cp:revision>
  <cp:lastPrinted>2021-07-23T07:57:00Z</cp:lastPrinted>
  <dcterms:created xsi:type="dcterms:W3CDTF">2021-07-23T08:10:00Z</dcterms:created>
  <dcterms:modified xsi:type="dcterms:W3CDTF">2021-07-23T08:10:00Z</dcterms:modified>
</cp:coreProperties>
</file>