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2E343" w14:textId="77777777" w:rsidR="00406787" w:rsidRPr="0000153F" w:rsidRDefault="00406787" w:rsidP="00AD0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0015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NUMATOMO TEISINIO REGULIAVIMO POVEIKIO VERTINIMO PAŽYMA</w:t>
      </w:r>
    </w:p>
    <w:p w14:paraId="4AD54466" w14:textId="77777777" w:rsidR="00406787" w:rsidRPr="0053627E" w:rsidRDefault="00406787" w:rsidP="00AD08A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04"/>
        <w:gridCol w:w="7402"/>
      </w:tblGrid>
      <w:tr w:rsidR="00406787" w:rsidRPr="0000153F" w14:paraId="5FDEB5EE" w14:textId="77777777" w:rsidTr="002D1BC0">
        <w:tc>
          <w:tcPr>
            <w:tcW w:w="2204" w:type="dxa"/>
            <w:shd w:val="clear" w:color="auto" w:fill="DBE5F1"/>
            <w:hideMark/>
          </w:tcPr>
          <w:p w14:paraId="72ADECB2" w14:textId="77777777" w:rsidR="00406787" w:rsidRPr="0000153F" w:rsidRDefault="00406787" w:rsidP="00AD0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BE5F1"/>
                <w:lang w:eastAsia="lt-LT"/>
              </w:rPr>
            </w:pPr>
            <w:r w:rsidRPr="0000153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DBE5F1"/>
                <w:lang w:eastAsia="lt-LT"/>
              </w:rPr>
              <w:t>Projekto pavadinimas</w:t>
            </w:r>
          </w:p>
        </w:tc>
        <w:tc>
          <w:tcPr>
            <w:tcW w:w="7402" w:type="dxa"/>
            <w:shd w:val="clear" w:color="auto" w:fill="DBE5F1"/>
          </w:tcPr>
          <w:p w14:paraId="155E5B3B" w14:textId="4BC406A4" w:rsidR="00406787" w:rsidRPr="0000153F" w:rsidRDefault="00ED18EF" w:rsidP="00AD0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0153F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Vyriausybės nutarimo „Dėl Lietuvos Respublikos Vyriausybės 1996 m. liepos 19 d. nutarimo Nr. 855 „Dėl </w:t>
            </w:r>
            <w:r w:rsidR="0000153F" w:rsidRPr="000015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Pavilnių ir </w:t>
            </w:r>
            <w:proofErr w:type="spellStart"/>
            <w:r w:rsidR="0000153F" w:rsidRPr="000015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Verkių</w:t>
            </w:r>
            <w:proofErr w:type="spellEnd"/>
            <w:r w:rsidRPr="000015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regioninių parkų nuostatų patvirtinimo“</w:t>
            </w:r>
            <w:r w:rsidRPr="000015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pakeitimo“ projektas.</w:t>
            </w:r>
          </w:p>
        </w:tc>
      </w:tr>
    </w:tbl>
    <w:p w14:paraId="7DF660F2" w14:textId="77777777" w:rsidR="00406787" w:rsidRPr="00085443" w:rsidRDefault="00406787" w:rsidP="00AD08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191"/>
        <w:gridCol w:w="7415"/>
      </w:tblGrid>
      <w:tr w:rsidR="00406787" w:rsidRPr="0000153F" w14:paraId="2D9A38DF" w14:textId="77777777" w:rsidTr="002D1BC0">
        <w:tc>
          <w:tcPr>
            <w:tcW w:w="2191" w:type="dxa"/>
            <w:shd w:val="clear" w:color="auto" w:fill="DBE5F1"/>
            <w:hideMark/>
          </w:tcPr>
          <w:p w14:paraId="6FF21CEC" w14:textId="77777777" w:rsidR="00406787" w:rsidRPr="0000153F" w:rsidRDefault="00406787" w:rsidP="00AD0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0153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DBE5F1"/>
                <w:lang w:eastAsia="lt-LT"/>
              </w:rPr>
              <w:t>Projekto rengėjas</w:t>
            </w:r>
          </w:p>
        </w:tc>
        <w:tc>
          <w:tcPr>
            <w:tcW w:w="7415" w:type="dxa"/>
            <w:shd w:val="clear" w:color="auto" w:fill="DBE5F1"/>
            <w:hideMark/>
          </w:tcPr>
          <w:p w14:paraId="364C7110" w14:textId="37CA2A61" w:rsidR="00406787" w:rsidRPr="0000153F" w:rsidRDefault="0000153F" w:rsidP="00AD0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015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Aplinkos ministerijos Gamtos apsaugos politikos grupė, talkinant </w:t>
            </w:r>
            <w:r w:rsidRPr="000015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Pr="000015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saugomų teritorijų tarnyba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="00ED18EF" w:rsidRPr="000015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 Apli</w:t>
            </w:r>
            <w:r w:rsidRPr="000015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nkos ministerijos</w:t>
            </w:r>
            <w:r w:rsidR="00ED18EF" w:rsidRPr="000015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</w:tbl>
    <w:p w14:paraId="1084967C" w14:textId="77777777" w:rsidR="00406787" w:rsidRPr="0053627E" w:rsidRDefault="00406787" w:rsidP="00AD08A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189"/>
        <w:gridCol w:w="7417"/>
      </w:tblGrid>
      <w:tr w:rsidR="00406787" w:rsidRPr="0000153F" w14:paraId="2AA5FAA0" w14:textId="77777777" w:rsidTr="002D1BC0">
        <w:tc>
          <w:tcPr>
            <w:tcW w:w="2189" w:type="dxa"/>
            <w:shd w:val="clear" w:color="auto" w:fill="DBE5F1"/>
            <w:hideMark/>
          </w:tcPr>
          <w:p w14:paraId="498DD3DC" w14:textId="77777777" w:rsidR="00406787" w:rsidRPr="0000153F" w:rsidRDefault="00406787" w:rsidP="00AD0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015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Projekto tikslas</w:t>
            </w:r>
          </w:p>
        </w:tc>
        <w:tc>
          <w:tcPr>
            <w:tcW w:w="7417" w:type="dxa"/>
            <w:shd w:val="clear" w:color="auto" w:fill="DBE5F1"/>
            <w:hideMark/>
          </w:tcPr>
          <w:p w14:paraId="61057D54" w14:textId="75F6E80E" w:rsidR="00406787" w:rsidRPr="0000153F" w:rsidRDefault="00406787" w:rsidP="00AD08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0153F">
              <w:rPr>
                <w:rFonts w:ascii="Times New Roman" w:hAnsi="Times New Roman" w:cs="Times New Roman"/>
                <w:sz w:val="24"/>
                <w:szCs w:val="24"/>
              </w:rPr>
              <w:t>Įgyvendinant</w:t>
            </w:r>
            <w:r w:rsidRPr="0000153F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00153F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00153F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00153F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m.</w:t>
            </w:r>
            <w:r w:rsidRPr="0000153F">
              <w:rPr>
                <w:rFonts w:ascii="Times New Roman" w:hAnsi="Times New Roman" w:cs="Times New Roman"/>
                <w:color w:val="2D2D2D"/>
                <w:spacing w:val="43"/>
                <w:sz w:val="24"/>
                <w:szCs w:val="24"/>
              </w:rPr>
              <w:t xml:space="preserve"> </w:t>
            </w:r>
            <w:r w:rsidRPr="0000153F">
              <w:rPr>
                <w:rFonts w:ascii="Times New Roman" w:hAnsi="Times New Roman" w:cs="Times New Roman"/>
                <w:sz w:val="24"/>
                <w:szCs w:val="24"/>
              </w:rPr>
              <w:t xml:space="preserve">spalio </w:t>
            </w:r>
            <w:r w:rsidRPr="000015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00153F">
              <w:rPr>
                <w:rFonts w:ascii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00153F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Pr="0000153F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0015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Seimo</w:t>
            </w:r>
            <w:r w:rsidRPr="0000153F">
              <w:rPr>
                <w:rFonts w:ascii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00153F">
              <w:rPr>
                <w:rFonts w:ascii="Times New Roman" w:hAnsi="Times New Roman" w:cs="Times New Roman"/>
                <w:sz w:val="24"/>
                <w:szCs w:val="24"/>
              </w:rPr>
              <w:t>priimtą</w:t>
            </w:r>
            <w:r w:rsidRPr="0000153F">
              <w:rPr>
                <w:rFonts w:ascii="Times New Roman" w:hAnsi="Times New Roman" w:cs="Times New Roman"/>
                <w:spacing w:val="48"/>
                <w:w w:val="120"/>
                <w:sz w:val="24"/>
                <w:szCs w:val="24"/>
              </w:rPr>
              <w:t xml:space="preserve"> </w:t>
            </w:r>
            <w:r w:rsidRPr="0000153F">
              <w:rPr>
                <w:rFonts w:ascii="Times New Roman" w:hAnsi="Times New Roman" w:cs="Times New Roman"/>
                <w:sz w:val="24"/>
                <w:szCs w:val="24"/>
              </w:rPr>
              <w:t xml:space="preserve">Saugomų </w:t>
            </w:r>
            <w:r w:rsidRPr="000015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teritorijų</w:t>
            </w:r>
            <w:r w:rsidRPr="0000153F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į</w:t>
            </w:r>
            <w:r w:rsidRPr="000015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statymo</w:t>
            </w:r>
            <w:r w:rsidRPr="0000153F">
              <w:rPr>
                <w:rFonts w:ascii="Times New Roman" w:hAnsi="Times New Roman" w:cs="Times New Roman"/>
                <w:color w:val="000000"/>
                <w:spacing w:val="-17"/>
                <w:sz w:val="24"/>
                <w:szCs w:val="24"/>
              </w:rPr>
              <w:t xml:space="preserve"> </w:t>
            </w:r>
            <w:r w:rsidRPr="0000153F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Nr.</w:t>
            </w:r>
            <w:r w:rsidRPr="0000153F">
              <w:rPr>
                <w:rFonts w:ascii="Times New Roman" w:hAnsi="Times New Roman" w:cs="Times New Roman"/>
                <w:color w:val="2D2D2D"/>
                <w:spacing w:val="-9"/>
                <w:sz w:val="24"/>
                <w:szCs w:val="24"/>
              </w:rPr>
              <w:t xml:space="preserve"> </w:t>
            </w:r>
            <w:r w:rsidRPr="0000153F">
              <w:rPr>
                <w:rFonts w:ascii="Times New Roman" w:hAnsi="Times New Roman" w:cs="Times New Roman"/>
                <w:sz w:val="24"/>
                <w:szCs w:val="24"/>
              </w:rPr>
              <w:t>1-301</w:t>
            </w:r>
            <w:r w:rsidRPr="0000153F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0153F">
              <w:rPr>
                <w:rFonts w:ascii="Times New Roman" w:hAnsi="Times New Roman" w:cs="Times New Roman"/>
                <w:w w:val="80"/>
                <w:sz w:val="24"/>
                <w:szCs w:val="24"/>
              </w:rPr>
              <w:t>1,</w:t>
            </w:r>
            <w:r w:rsidRPr="0000153F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0015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</w:t>
            </w:r>
            <w:r w:rsidRPr="0000153F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 xml:space="preserve"> </w:t>
            </w:r>
            <w:r w:rsidRPr="000015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</w:t>
            </w:r>
            <w:r w:rsidRPr="0000153F">
              <w:rPr>
                <w:rFonts w:ascii="Times New Roman" w:hAnsi="Times New Roman" w:cs="Times New Roman"/>
                <w:color w:val="000000"/>
                <w:spacing w:val="-22"/>
                <w:sz w:val="24"/>
                <w:szCs w:val="24"/>
              </w:rPr>
              <w:t xml:space="preserve"> </w:t>
            </w:r>
            <w:r w:rsidRPr="0000153F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Pr="0000153F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00153F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9,</w:t>
            </w:r>
            <w:r w:rsidRPr="0000153F">
              <w:rPr>
                <w:rFonts w:ascii="Times New Roman" w:hAnsi="Times New Roman" w:cs="Times New Roman"/>
                <w:color w:val="2D2D2D"/>
                <w:spacing w:val="44"/>
                <w:sz w:val="24"/>
                <w:szCs w:val="24"/>
              </w:rPr>
              <w:t xml:space="preserve"> </w:t>
            </w:r>
            <w:r w:rsidRPr="0000153F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13,</w:t>
            </w:r>
            <w:r w:rsidRPr="0000153F">
              <w:rPr>
                <w:rFonts w:ascii="Times New Roman" w:hAnsi="Times New Roman" w:cs="Times New Roman"/>
                <w:color w:val="2D2D2D"/>
                <w:spacing w:val="30"/>
                <w:sz w:val="24"/>
                <w:szCs w:val="24"/>
              </w:rPr>
              <w:t xml:space="preserve"> </w:t>
            </w:r>
            <w:r w:rsidRPr="0000153F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16,</w:t>
            </w:r>
            <w:r w:rsidRPr="0000153F">
              <w:rPr>
                <w:rFonts w:ascii="Times New Roman" w:hAnsi="Times New Roman" w:cs="Times New Roman"/>
                <w:color w:val="2D2D2D"/>
                <w:spacing w:val="24"/>
                <w:sz w:val="24"/>
                <w:szCs w:val="24"/>
              </w:rPr>
              <w:t xml:space="preserve"> </w:t>
            </w:r>
            <w:r w:rsidRPr="0000153F">
              <w:rPr>
                <w:rFonts w:ascii="Times New Roman" w:hAnsi="Times New Roman" w:cs="Times New Roman"/>
                <w:color w:val="000000"/>
                <w:w w:val="88"/>
                <w:sz w:val="24"/>
                <w:szCs w:val="24"/>
              </w:rPr>
              <w:t>18,</w:t>
            </w:r>
            <w:r w:rsidRPr="0000153F">
              <w:rPr>
                <w:rFonts w:ascii="Times New Roman" w:hAnsi="Times New Roman" w:cs="Times New Roman"/>
                <w:color w:val="000000"/>
                <w:spacing w:val="7"/>
                <w:w w:val="88"/>
                <w:sz w:val="24"/>
                <w:szCs w:val="24"/>
              </w:rPr>
              <w:t xml:space="preserve"> </w:t>
            </w:r>
            <w:r w:rsidRPr="0000153F"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 w:rsidRPr="0000153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0153F">
              <w:rPr>
                <w:rFonts w:ascii="Times New Roman" w:hAnsi="Times New Roman" w:cs="Times New Roman"/>
                <w:sz w:val="24"/>
                <w:szCs w:val="24"/>
              </w:rPr>
              <w:t>23,</w:t>
            </w:r>
            <w:r w:rsidRPr="0000153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0153F">
              <w:rPr>
                <w:rFonts w:ascii="Times New Roman" w:hAnsi="Times New Roman" w:cs="Times New Roman"/>
                <w:sz w:val="24"/>
                <w:szCs w:val="24"/>
              </w:rPr>
              <w:t>24-1,</w:t>
            </w:r>
            <w:r w:rsidRPr="0000153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665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25,</w:t>
            </w:r>
            <w:r w:rsidRPr="0000153F">
              <w:rPr>
                <w:rFonts w:ascii="Times New Roman" w:hAnsi="Times New Roman" w:cs="Times New Roman"/>
                <w:i/>
                <w:iCs/>
                <w:color w:val="000000"/>
                <w:spacing w:val="-12"/>
                <w:sz w:val="24"/>
                <w:szCs w:val="24"/>
              </w:rPr>
              <w:t xml:space="preserve"> </w:t>
            </w:r>
            <w:r w:rsidRPr="0000153F">
              <w:rPr>
                <w:rFonts w:ascii="Times New Roman" w:hAnsi="Times New Roman" w:cs="Times New Roman"/>
                <w:sz w:val="24"/>
                <w:szCs w:val="24"/>
              </w:rPr>
              <w:t>27,</w:t>
            </w:r>
            <w:r w:rsidRPr="0000153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0153F">
              <w:rPr>
                <w:rFonts w:ascii="Times New Roman" w:hAnsi="Times New Roman" w:cs="Times New Roman"/>
                <w:sz w:val="24"/>
                <w:szCs w:val="24"/>
              </w:rPr>
              <w:t>29,</w:t>
            </w:r>
            <w:r w:rsidRPr="0000153F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015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</w:t>
            </w:r>
            <w:r w:rsidRPr="0000153F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 </w:t>
            </w:r>
            <w:r w:rsidRPr="0000153F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31,</w:t>
            </w:r>
            <w:r w:rsidRPr="0000153F">
              <w:rPr>
                <w:rFonts w:ascii="Times New Roman" w:hAnsi="Times New Roman" w:cs="Times New Roman"/>
                <w:color w:val="2D2D2D"/>
                <w:spacing w:val="-18"/>
                <w:sz w:val="24"/>
                <w:szCs w:val="24"/>
              </w:rPr>
              <w:t xml:space="preserve"> </w:t>
            </w:r>
            <w:r w:rsidRPr="0000153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00153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0153F">
              <w:rPr>
                <w:rFonts w:ascii="Times New Roman" w:hAnsi="Times New Roman" w:cs="Times New Roman"/>
                <w:sz w:val="24"/>
                <w:szCs w:val="24"/>
              </w:rPr>
              <w:t>straipsnių</w:t>
            </w:r>
            <w:r w:rsidRPr="0000153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0153F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ir </w:t>
            </w:r>
            <w:r w:rsidRPr="000015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priedo</w:t>
            </w:r>
            <w:r w:rsidRPr="0000153F">
              <w:rPr>
                <w:rFonts w:ascii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0015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pakeitimo </w:t>
            </w:r>
            <w:r w:rsidRPr="0000153F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Pr="0000153F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0015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įstatymo</w:t>
            </w:r>
            <w:r w:rsidRPr="0000153F">
              <w:rPr>
                <w:rFonts w:ascii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0015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papildymo </w:t>
            </w:r>
            <w:r w:rsidRPr="0000153F">
              <w:rPr>
                <w:rFonts w:ascii="Times New Roman" w:hAnsi="Times New Roman" w:cs="Times New Roman"/>
                <w:sz w:val="24"/>
                <w:szCs w:val="24"/>
              </w:rPr>
              <w:t>32-1</w:t>
            </w:r>
            <w:r w:rsidRPr="0000153F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00153F">
              <w:rPr>
                <w:rFonts w:ascii="Times New Roman" w:hAnsi="Times New Roman" w:cs="Times New Roman"/>
                <w:sz w:val="24"/>
                <w:szCs w:val="24"/>
              </w:rPr>
              <w:t xml:space="preserve">straipsniu įstatymą </w:t>
            </w:r>
            <w:r w:rsidRPr="000015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Nr. XII-2683</w:t>
            </w:r>
            <w:r w:rsidRPr="0000153F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, </w:t>
            </w:r>
            <w:r w:rsidRPr="000015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  <w:r w:rsidRPr="0000153F">
              <w:rPr>
                <w:rFonts w:ascii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00153F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Pr="0000153F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0015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rugsėjo</w:t>
            </w:r>
            <w:r w:rsidRPr="0000153F">
              <w:rPr>
                <w:rFonts w:ascii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00153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00153F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00153F">
              <w:rPr>
                <w:rFonts w:ascii="Times New Roman" w:hAnsi="Times New Roman" w:cs="Times New Roman"/>
                <w:sz w:val="24"/>
                <w:szCs w:val="24"/>
              </w:rPr>
              <w:t>d. Seimo</w:t>
            </w:r>
            <w:r w:rsidRPr="0000153F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015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priimtą</w:t>
            </w:r>
            <w:r w:rsidRPr="0000153F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0015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Saugomų</w:t>
            </w:r>
            <w:r w:rsidRPr="0000153F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00153F">
              <w:rPr>
                <w:rFonts w:ascii="Times New Roman" w:hAnsi="Times New Roman" w:cs="Times New Roman"/>
                <w:sz w:val="24"/>
                <w:szCs w:val="24"/>
              </w:rPr>
              <w:t>teritorijų į</w:t>
            </w:r>
            <w:r w:rsidRPr="000015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statymo</w:t>
            </w:r>
            <w:r w:rsidRPr="0000153F">
              <w:rPr>
                <w:rFonts w:ascii="Times New Roman" w:hAnsi="Times New Roman" w:cs="Times New Roman"/>
                <w:color w:val="000000"/>
                <w:spacing w:val="-17"/>
                <w:sz w:val="24"/>
                <w:szCs w:val="24"/>
              </w:rPr>
              <w:t xml:space="preserve"> </w:t>
            </w:r>
            <w:r w:rsidRPr="0000153F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Pr="0000153F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00153F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1-301</w:t>
            </w:r>
            <w:r w:rsidRPr="0000153F">
              <w:rPr>
                <w:rFonts w:ascii="Times New Roman" w:hAnsi="Times New Roman" w:cs="Times New Roman"/>
                <w:color w:val="2D2D2D"/>
                <w:spacing w:val="-18"/>
                <w:sz w:val="24"/>
                <w:szCs w:val="24"/>
              </w:rPr>
              <w:t xml:space="preserve"> </w:t>
            </w:r>
            <w:r w:rsidRPr="0000153F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2,</w:t>
            </w:r>
            <w:r w:rsidRPr="0000153F">
              <w:rPr>
                <w:rFonts w:ascii="Times New Roman" w:hAnsi="Times New Roman" w:cs="Times New Roman"/>
                <w:color w:val="2D2D2D"/>
                <w:spacing w:val="-16"/>
                <w:sz w:val="24"/>
                <w:szCs w:val="24"/>
              </w:rPr>
              <w:t xml:space="preserve"> </w:t>
            </w:r>
            <w:r w:rsidRPr="0000153F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Pr="0000153F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00153F">
              <w:rPr>
                <w:rFonts w:ascii="Times New Roman" w:hAnsi="Times New Roman" w:cs="Times New Roman"/>
                <w:w w:val="82"/>
                <w:sz w:val="24"/>
                <w:szCs w:val="24"/>
              </w:rPr>
              <w:t xml:space="preserve">13 </w:t>
            </w:r>
            <w:r w:rsidRPr="0000153F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ir</w:t>
            </w:r>
            <w:r w:rsidRPr="0000153F">
              <w:rPr>
                <w:rFonts w:ascii="Times New Roman" w:hAnsi="Times New Roman" w:cs="Times New Roman"/>
                <w:color w:val="2D2D2D"/>
                <w:spacing w:val="-7"/>
                <w:sz w:val="24"/>
                <w:szCs w:val="24"/>
              </w:rPr>
              <w:t xml:space="preserve"> </w:t>
            </w:r>
            <w:r w:rsidRPr="000015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0153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015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straipsnių</w:t>
            </w:r>
            <w:r w:rsidRPr="0000153F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0015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pakeitimo</w:t>
            </w:r>
            <w:r w:rsidRPr="0000153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į</w:t>
            </w:r>
            <w:r w:rsidRPr="0000153F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>statymą</w:t>
            </w:r>
            <w:r w:rsidRPr="000015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XIII-1503</w:t>
            </w:r>
            <w:r w:rsidR="00DD74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bookmarkStart w:id="0" w:name="_GoBack"/>
            <w:bookmarkEnd w:id="0"/>
            <w:r w:rsidRPr="0000153F">
              <w:rPr>
                <w:rFonts w:ascii="Times New Roman" w:hAnsi="Times New Roman" w:cs="Times New Roman"/>
                <w:sz w:val="24"/>
                <w:szCs w:val="24"/>
              </w:rPr>
              <w:t xml:space="preserve">2019 m. birželio 6 d. Seimo priimtą </w:t>
            </w:r>
            <w:r w:rsidRPr="0000153F">
              <w:rPr>
                <w:rStyle w:val="clear"/>
                <w:rFonts w:ascii="Times New Roman" w:hAnsi="Times New Roman" w:cs="Times New Roman"/>
                <w:sz w:val="24"/>
                <w:szCs w:val="24"/>
              </w:rPr>
              <w:t>Saugomų teritorijų įstatymo Nr. I-301 2, 5, 7, 9, 11, 12, 13, 18, 19, 20, 20-1, 25, 27 ir 28 straipsnių pakeitimo įstatymą</w:t>
            </w:r>
            <w:r w:rsidRPr="0000153F">
              <w:rPr>
                <w:rFonts w:ascii="Times New Roman" w:hAnsi="Times New Roman" w:cs="Times New Roman"/>
                <w:sz w:val="24"/>
                <w:szCs w:val="24"/>
              </w:rPr>
              <w:t xml:space="preserve"> Nr. XIII-2186 ir Specialiųjų žemės naudojimo sąlygų įstatymą </w:t>
            </w:r>
            <w:r w:rsidRPr="000015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XIII-2166, </w:t>
            </w:r>
            <w:r w:rsidRPr="0000153F">
              <w:rPr>
                <w:rFonts w:ascii="Times New Roman" w:hAnsi="Times New Roman" w:cs="Times New Roman"/>
                <w:sz w:val="24"/>
                <w:szCs w:val="24"/>
              </w:rPr>
              <w:t xml:space="preserve">nustatyti </w:t>
            </w:r>
            <w:r w:rsidR="00ED18EF" w:rsidRPr="0000153F">
              <w:rPr>
                <w:rFonts w:ascii="Times New Roman" w:hAnsi="Times New Roman" w:cs="Times New Roman"/>
                <w:sz w:val="24"/>
                <w:szCs w:val="24"/>
              </w:rPr>
              <w:t xml:space="preserve">Pavilnių ir </w:t>
            </w:r>
            <w:proofErr w:type="spellStart"/>
            <w:r w:rsidR="00ED18EF" w:rsidRPr="0000153F">
              <w:rPr>
                <w:rFonts w:ascii="Times New Roman" w:hAnsi="Times New Roman" w:cs="Times New Roman"/>
                <w:sz w:val="24"/>
                <w:szCs w:val="24"/>
              </w:rPr>
              <w:t>Verkių</w:t>
            </w:r>
            <w:proofErr w:type="spellEnd"/>
            <w:r w:rsidR="00ED18EF" w:rsidRPr="0000153F">
              <w:rPr>
                <w:rFonts w:ascii="Times New Roman" w:hAnsi="Times New Roman" w:cs="Times New Roman"/>
                <w:sz w:val="24"/>
                <w:szCs w:val="24"/>
              </w:rPr>
              <w:t xml:space="preserve"> region</w:t>
            </w:r>
            <w:r w:rsidRPr="00001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inių parkų </w:t>
            </w:r>
            <w:r w:rsidRPr="0000153F">
              <w:rPr>
                <w:rFonts w:ascii="Times New Roman" w:hAnsi="Times New Roman" w:cs="Times New Roman"/>
                <w:sz w:val="24"/>
                <w:szCs w:val="24"/>
              </w:rPr>
              <w:t>steigimo tikslus, išskirtinę vertę, valdymo, apsaugos ir tvarkymo organizavimo ypatumus, etnografinio regiono architektūros ir sodybų planavimo trad</w:t>
            </w:r>
            <w:r w:rsidR="00466581">
              <w:rPr>
                <w:rFonts w:ascii="Times New Roman" w:hAnsi="Times New Roman" w:cs="Times New Roman"/>
                <w:sz w:val="24"/>
                <w:szCs w:val="24"/>
              </w:rPr>
              <w:t xml:space="preserve">icijomis pagrįstus reikalavimus. </w:t>
            </w:r>
          </w:p>
        </w:tc>
      </w:tr>
    </w:tbl>
    <w:p w14:paraId="3C8C904F" w14:textId="77777777" w:rsidR="00406787" w:rsidRPr="0053627E" w:rsidRDefault="00406787" w:rsidP="00AD08A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164"/>
        <w:gridCol w:w="7442"/>
      </w:tblGrid>
      <w:tr w:rsidR="00406787" w:rsidRPr="0000153F" w14:paraId="0CBB0CB7" w14:textId="77777777" w:rsidTr="002D1BC0">
        <w:trPr>
          <w:trHeight w:val="415"/>
        </w:trPr>
        <w:tc>
          <w:tcPr>
            <w:tcW w:w="2164" w:type="dxa"/>
            <w:shd w:val="clear" w:color="auto" w:fill="DBE5F1"/>
          </w:tcPr>
          <w:p w14:paraId="77890BC6" w14:textId="77777777" w:rsidR="00406787" w:rsidRPr="0000153F" w:rsidRDefault="00406787" w:rsidP="00AD0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442" w:type="dxa"/>
            <w:shd w:val="clear" w:color="auto" w:fill="DBE5F1"/>
            <w:hideMark/>
          </w:tcPr>
          <w:p w14:paraId="5F95AC67" w14:textId="77777777" w:rsidR="00406787" w:rsidRPr="0000153F" w:rsidRDefault="00406787" w:rsidP="00AD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015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Siūlomo projekto poveikio įvertinimas </w:t>
            </w:r>
          </w:p>
          <w:p w14:paraId="0C03E6D4" w14:textId="77777777" w:rsidR="00406787" w:rsidRPr="0000153F" w:rsidRDefault="00406787" w:rsidP="00AD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015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(</w:t>
            </w:r>
            <w:r w:rsidRPr="00001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teigiamos ir (ar) neigiamos pasekmės)</w:t>
            </w:r>
          </w:p>
        </w:tc>
      </w:tr>
    </w:tbl>
    <w:p w14:paraId="7EE376B5" w14:textId="77777777" w:rsidR="00406787" w:rsidRPr="0053627E" w:rsidRDefault="00406787" w:rsidP="00AD08A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35"/>
        <w:gridCol w:w="7371"/>
      </w:tblGrid>
      <w:tr w:rsidR="00406787" w:rsidRPr="0000153F" w14:paraId="49872144" w14:textId="77777777" w:rsidTr="002D1BC0">
        <w:tc>
          <w:tcPr>
            <w:tcW w:w="2235" w:type="dxa"/>
            <w:shd w:val="clear" w:color="auto" w:fill="DBE5F1"/>
          </w:tcPr>
          <w:p w14:paraId="774E00BA" w14:textId="77777777" w:rsidR="00406787" w:rsidRPr="0000153F" w:rsidRDefault="00406787" w:rsidP="00AD0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015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Poveikis aplinkai</w:t>
            </w:r>
          </w:p>
        </w:tc>
        <w:tc>
          <w:tcPr>
            <w:tcW w:w="7371" w:type="dxa"/>
          </w:tcPr>
          <w:p w14:paraId="067ECCE5" w14:textId="4587571F" w:rsidR="00406787" w:rsidRPr="0000153F" w:rsidRDefault="00406787" w:rsidP="00AD0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015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Prognozuojamas teigiamas poveikis. Parengti nuostatai sukonkretina apsaugos tikslus, būdus, detalizuoja etnografinių regiono architektūros ir sodybų planavimo tradicijomis pagrįstus reikalavimus. Tokiu būdu bus padidintas saugomų vertybių apsaugos efektyvumas regioniniame parke</w:t>
            </w:r>
            <w:r w:rsidR="00D204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nebus pagrindo kilti teisiniams ginčams dėl nepakankamo ar nekonkretaus ūkinės ir kitos veiklos reglamentavimo šiose saugomose teritorijose</w:t>
            </w:r>
            <w:r w:rsidRPr="000015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</w:p>
        </w:tc>
      </w:tr>
    </w:tbl>
    <w:p w14:paraId="601410C2" w14:textId="77777777" w:rsidR="00406787" w:rsidRPr="0053627E" w:rsidRDefault="00406787" w:rsidP="00AD08A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35"/>
        <w:gridCol w:w="7371"/>
      </w:tblGrid>
      <w:tr w:rsidR="00406787" w:rsidRPr="0000153F" w14:paraId="2DB18242" w14:textId="77777777" w:rsidTr="002D1BC0">
        <w:tc>
          <w:tcPr>
            <w:tcW w:w="2235" w:type="dxa"/>
            <w:shd w:val="clear" w:color="auto" w:fill="DBE5F1"/>
          </w:tcPr>
          <w:p w14:paraId="7CD3C142" w14:textId="77777777" w:rsidR="00406787" w:rsidRPr="0000153F" w:rsidRDefault="00406787" w:rsidP="00AD0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015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Poveikis klimato kaitai</w:t>
            </w:r>
          </w:p>
        </w:tc>
        <w:tc>
          <w:tcPr>
            <w:tcW w:w="7371" w:type="dxa"/>
          </w:tcPr>
          <w:p w14:paraId="62A9F88F" w14:textId="77777777" w:rsidR="00406787" w:rsidRPr="0000153F" w:rsidRDefault="00406787" w:rsidP="00AD0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015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Nenumatomas.</w:t>
            </w:r>
          </w:p>
        </w:tc>
      </w:tr>
    </w:tbl>
    <w:p w14:paraId="0DDEDE91" w14:textId="77777777" w:rsidR="00406787" w:rsidRPr="0053627E" w:rsidRDefault="00406787" w:rsidP="00AD08A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35"/>
        <w:gridCol w:w="7371"/>
      </w:tblGrid>
      <w:tr w:rsidR="00406787" w:rsidRPr="001A55A3" w14:paraId="02F0C65B" w14:textId="77777777" w:rsidTr="002D1BC0">
        <w:tc>
          <w:tcPr>
            <w:tcW w:w="2235" w:type="dxa"/>
            <w:shd w:val="clear" w:color="auto" w:fill="DBE5F1"/>
            <w:hideMark/>
          </w:tcPr>
          <w:p w14:paraId="3A0D2A2E" w14:textId="77777777" w:rsidR="00406787" w:rsidRPr="001A55A3" w:rsidRDefault="00406787" w:rsidP="00AD0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A5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Poveikis valstybės finansams</w:t>
            </w:r>
          </w:p>
        </w:tc>
        <w:tc>
          <w:tcPr>
            <w:tcW w:w="7371" w:type="dxa"/>
            <w:hideMark/>
          </w:tcPr>
          <w:p w14:paraId="261807D2" w14:textId="77777777" w:rsidR="00406787" w:rsidRPr="001A55A3" w:rsidRDefault="00406787" w:rsidP="00AD0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A55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Papildomų lėšų nutarimo įgyvendinimui nereikės.</w:t>
            </w:r>
          </w:p>
        </w:tc>
      </w:tr>
    </w:tbl>
    <w:p w14:paraId="69F633F9" w14:textId="77777777" w:rsidR="00406787" w:rsidRPr="001A55A3" w:rsidRDefault="00406787" w:rsidP="00AD08A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35"/>
        <w:gridCol w:w="7371"/>
      </w:tblGrid>
      <w:tr w:rsidR="00406787" w:rsidRPr="001A55A3" w14:paraId="6103D5C3" w14:textId="77777777" w:rsidTr="002D1BC0">
        <w:tc>
          <w:tcPr>
            <w:tcW w:w="2235" w:type="dxa"/>
            <w:shd w:val="clear" w:color="auto" w:fill="DBE5F1"/>
            <w:hideMark/>
          </w:tcPr>
          <w:p w14:paraId="2534CA07" w14:textId="77777777" w:rsidR="00406787" w:rsidRPr="001A55A3" w:rsidRDefault="00406787" w:rsidP="00AD0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A5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Poveikis administracinei naštai</w:t>
            </w:r>
          </w:p>
        </w:tc>
        <w:tc>
          <w:tcPr>
            <w:tcW w:w="7371" w:type="dxa"/>
            <w:hideMark/>
          </w:tcPr>
          <w:p w14:paraId="75372E9B" w14:textId="50BEB9E8" w:rsidR="00406787" w:rsidRPr="001A55A3" w:rsidRDefault="00376329" w:rsidP="00AD0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A55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Poveikio administracinei naštai nebus. </w:t>
            </w:r>
          </w:p>
        </w:tc>
      </w:tr>
    </w:tbl>
    <w:p w14:paraId="6B2C7194" w14:textId="77777777" w:rsidR="00406787" w:rsidRPr="001A55A3" w:rsidRDefault="00406787" w:rsidP="00AD08A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35"/>
        <w:gridCol w:w="7371"/>
      </w:tblGrid>
      <w:tr w:rsidR="00376329" w:rsidRPr="001A55A3" w14:paraId="27EB837B" w14:textId="77777777" w:rsidTr="0081484B">
        <w:tc>
          <w:tcPr>
            <w:tcW w:w="2235" w:type="dxa"/>
            <w:shd w:val="clear" w:color="auto" w:fill="DBE5F1"/>
            <w:hideMark/>
          </w:tcPr>
          <w:p w14:paraId="69365098" w14:textId="2FE84F6D" w:rsidR="00376329" w:rsidRPr="001A55A3" w:rsidRDefault="00376329" w:rsidP="00AD0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A5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Poveikis viešojo valdymo sistemai</w:t>
            </w:r>
          </w:p>
        </w:tc>
        <w:tc>
          <w:tcPr>
            <w:tcW w:w="7371" w:type="dxa"/>
            <w:hideMark/>
          </w:tcPr>
          <w:p w14:paraId="63BEC07E" w14:textId="77777777" w:rsidR="00376329" w:rsidRPr="001A55A3" w:rsidRDefault="00376329" w:rsidP="00AD0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A55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Teigiamas, nes bus optimizuotas teisinis ir administracinis reguliavimas, nustatyti konkretūs architektūros ir sodybų planavimo tradicijomis pagrįsti reikalavimai statyboms ir teritorijų tvarkymui. </w:t>
            </w:r>
          </w:p>
        </w:tc>
      </w:tr>
    </w:tbl>
    <w:p w14:paraId="62B8EC53" w14:textId="77777777" w:rsidR="00376329" w:rsidRPr="001A55A3" w:rsidRDefault="00376329" w:rsidP="00AD08A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30E2F82" w14:textId="77777777" w:rsidR="00406787" w:rsidRPr="001A55A3" w:rsidRDefault="00406787" w:rsidP="00AD08A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55A3">
        <w:rPr>
          <w:rFonts w:ascii="Times New Roman" w:eastAsia="Times New Roman" w:hAnsi="Times New Roman" w:cs="Times New Roman"/>
          <w:b/>
          <w:sz w:val="24"/>
          <w:szCs w:val="24"/>
        </w:rPr>
        <w:t>Informacija apie asmenį ir instituciją, atsakingą už poveikio vertinimą</w:t>
      </w: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6"/>
        <w:gridCol w:w="6770"/>
      </w:tblGrid>
      <w:tr w:rsidR="00406787" w:rsidRPr="0000153F" w14:paraId="41DF075A" w14:textId="77777777" w:rsidTr="002D1BC0"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724141B3" w14:textId="77777777" w:rsidR="00406787" w:rsidRPr="001A55A3" w:rsidRDefault="00406787" w:rsidP="00AD0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A3">
              <w:rPr>
                <w:rFonts w:ascii="Times New Roman" w:eastAsia="Times New Roman" w:hAnsi="Times New Roman" w:cs="Times New Roman"/>
                <w:sz w:val="24"/>
                <w:szCs w:val="24"/>
              </w:rPr>
              <w:t>Vardas ir pavardė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C826810" w14:textId="66A0D203" w:rsidR="00406787" w:rsidRPr="0000153F" w:rsidRDefault="0000153F" w:rsidP="00AD0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A3">
              <w:rPr>
                <w:rFonts w:ascii="Times New Roman" w:eastAsia="Times New Roman" w:hAnsi="Times New Roman" w:cs="Times New Roman"/>
                <w:sz w:val="24"/>
                <w:szCs w:val="24"/>
              </w:rPr>
              <w:t>Eduardas Vaitkevičius</w:t>
            </w:r>
          </w:p>
        </w:tc>
      </w:tr>
      <w:tr w:rsidR="00406787" w:rsidRPr="0000153F" w14:paraId="72F6990C" w14:textId="77777777" w:rsidTr="002D1BC0"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2429E3DC" w14:textId="77777777" w:rsidR="00406787" w:rsidRPr="0000153F" w:rsidRDefault="00406787" w:rsidP="00AD0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53F">
              <w:rPr>
                <w:rFonts w:ascii="Times New Roman" w:eastAsia="Times New Roman" w:hAnsi="Times New Roman" w:cs="Times New Roman"/>
                <w:sz w:val="24"/>
                <w:szCs w:val="24"/>
              </w:rPr>
              <w:t>Pareigos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617326E" w14:textId="26E3A8CB" w:rsidR="00406787" w:rsidRPr="0000153F" w:rsidRDefault="0000153F" w:rsidP="00AD0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Vyriausiasis</w:t>
            </w:r>
            <w:r w:rsidR="00406787" w:rsidRPr="00001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specialist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 </w:t>
            </w:r>
          </w:p>
        </w:tc>
      </w:tr>
      <w:tr w:rsidR="00406787" w:rsidRPr="007E3660" w14:paraId="724556E1" w14:textId="77777777" w:rsidTr="002D1BC0"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795A618F" w14:textId="77777777" w:rsidR="00406787" w:rsidRPr="007E3660" w:rsidRDefault="00406787" w:rsidP="00AD0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3660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Institucija (padalinys)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B5DA310" w14:textId="7D782015" w:rsidR="00406787" w:rsidRPr="007E3660" w:rsidRDefault="007D269A" w:rsidP="00AD0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6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Aplinkos ministerijos Gamtos apsaugos politikos grupė</w:t>
            </w:r>
          </w:p>
        </w:tc>
      </w:tr>
      <w:tr w:rsidR="00406787" w:rsidRPr="007E3660" w14:paraId="7F80EEA0" w14:textId="77777777" w:rsidTr="002D1BC0">
        <w:trPr>
          <w:trHeight w:val="511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6922ED2C" w14:textId="77777777" w:rsidR="00406787" w:rsidRPr="007E3660" w:rsidRDefault="00406787" w:rsidP="00AD0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660">
              <w:rPr>
                <w:rFonts w:ascii="Times New Roman" w:eastAsia="Times New Roman" w:hAnsi="Times New Roman" w:cs="Times New Roman"/>
                <w:sz w:val="24"/>
                <w:szCs w:val="24"/>
              </w:rPr>
              <w:t>Telefono numeris ir elektroninio pašto adresas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BF19F80" w14:textId="1471DA29" w:rsidR="00406787" w:rsidRPr="007E3660" w:rsidRDefault="007E3660" w:rsidP="00AD0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6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Eduardas Vaitkevičius, tel. 8 616 35652, el. p. </w:t>
            </w:r>
            <w:proofErr w:type="spellStart"/>
            <w:r w:rsidRPr="007E36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eduardas.vaitkevicius</w:t>
            </w:r>
            <w:proofErr w:type="spellEnd"/>
            <w:r w:rsidRPr="007E36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@</w:t>
            </w:r>
            <w:proofErr w:type="spellStart"/>
            <w:r w:rsidRPr="007E36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am.lt</w:t>
            </w:r>
            <w:proofErr w:type="spellEnd"/>
          </w:p>
        </w:tc>
      </w:tr>
    </w:tbl>
    <w:p w14:paraId="056F0D59" w14:textId="7A9B2690" w:rsidR="009439DA" w:rsidRPr="0000153F" w:rsidRDefault="009439DA" w:rsidP="005362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439DA" w:rsidRPr="0000153F" w:rsidSect="00BE2B81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787"/>
    <w:rsid w:val="0000153F"/>
    <w:rsid w:val="00034DAC"/>
    <w:rsid w:val="00085443"/>
    <w:rsid w:val="000F3F9F"/>
    <w:rsid w:val="0013618D"/>
    <w:rsid w:val="001A55A3"/>
    <w:rsid w:val="00376329"/>
    <w:rsid w:val="00406787"/>
    <w:rsid w:val="00466581"/>
    <w:rsid w:val="00483AB3"/>
    <w:rsid w:val="0053627E"/>
    <w:rsid w:val="0059406D"/>
    <w:rsid w:val="006404A6"/>
    <w:rsid w:val="0078103C"/>
    <w:rsid w:val="007D269A"/>
    <w:rsid w:val="007E3660"/>
    <w:rsid w:val="00841B08"/>
    <w:rsid w:val="008A11C3"/>
    <w:rsid w:val="008D42D3"/>
    <w:rsid w:val="009439DA"/>
    <w:rsid w:val="00AD08A7"/>
    <w:rsid w:val="00BE2B81"/>
    <w:rsid w:val="00CC2F10"/>
    <w:rsid w:val="00D204B3"/>
    <w:rsid w:val="00DD74E4"/>
    <w:rsid w:val="00ED18EF"/>
    <w:rsid w:val="00FD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6B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78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ear">
    <w:name w:val="clear"/>
    <w:basedOn w:val="DefaultParagraphFont"/>
    <w:rsid w:val="00406787"/>
  </w:style>
  <w:style w:type="character" w:styleId="Hyperlink">
    <w:name w:val="Hyperlink"/>
    <w:basedOn w:val="DefaultParagraphFont"/>
    <w:uiPriority w:val="99"/>
    <w:unhideWhenUsed/>
    <w:rsid w:val="0040678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361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61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61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1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1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1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78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ear">
    <w:name w:val="clear"/>
    <w:basedOn w:val="DefaultParagraphFont"/>
    <w:rsid w:val="00406787"/>
  </w:style>
  <w:style w:type="character" w:styleId="Hyperlink">
    <w:name w:val="Hyperlink"/>
    <w:basedOn w:val="DefaultParagraphFont"/>
    <w:uiPriority w:val="99"/>
    <w:unhideWhenUsed/>
    <w:rsid w:val="0040678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361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61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61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1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1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1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1650</Words>
  <Characters>941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2021-04-19T19:08:00Z</dcterms:created>
  <dc:creator>Rima Baradokaitė-Greimienė</dc:creator>
  <cp:lastModifiedBy>Eduardas Vaitkevicius</cp:lastModifiedBy>
  <dcterms:modified xsi:type="dcterms:W3CDTF">2021-04-20T17:15:00Z</dcterms:modified>
  <cp:revision>3</cp:revision>
</cp:coreProperties>
</file>