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2D383" w14:textId="77777777" w:rsidR="00E202E4" w:rsidRPr="008935CE" w:rsidRDefault="00437F56" w:rsidP="008935CE">
      <w:pPr>
        <w:jc w:val="center"/>
        <w:rPr>
          <w:rFonts w:eastAsia="Andale Sans UI"/>
          <w:b/>
          <w:kern w:val="0"/>
          <w:lang w:eastAsia="en-US" w:bidi="en-US"/>
        </w:rPr>
      </w:pPr>
      <w:r w:rsidRPr="008935CE">
        <w:rPr>
          <w:rFonts w:eastAsia="Andale Sans UI"/>
          <w:b/>
          <w:kern w:val="0"/>
          <w:lang w:eastAsia="en-US" w:bidi="en-US"/>
        </w:rPr>
        <w:t xml:space="preserve">LIETUVOS RESPUBLIKOS VYRIAUSYBĖS NUTARIMO </w:t>
      </w:r>
    </w:p>
    <w:p w14:paraId="7E258A1B" w14:textId="1B8F8241" w:rsidR="00E202E4" w:rsidRPr="008935CE" w:rsidRDefault="00437F56" w:rsidP="008935CE">
      <w:pPr>
        <w:jc w:val="center"/>
        <w:rPr>
          <w:rFonts w:eastAsia="Andale Sans UI"/>
          <w:b/>
          <w:kern w:val="0"/>
          <w:lang w:eastAsia="en-US" w:bidi="en-US"/>
        </w:rPr>
      </w:pPr>
      <w:r w:rsidRPr="008935CE">
        <w:rPr>
          <w:rFonts w:eastAsia="Andale Sans UI"/>
          <w:b/>
          <w:kern w:val="0"/>
          <w:lang w:eastAsia="en-US" w:bidi="en-US"/>
        </w:rPr>
        <w:t>„</w:t>
      </w:r>
      <w:r w:rsidR="00AB3D59" w:rsidRPr="008935CE">
        <w:rPr>
          <w:rFonts w:eastAsia="Andale Sans UI"/>
          <w:b/>
          <w:kern w:val="0"/>
          <w:lang w:eastAsia="en-US" w:bidi="en-US"/>
        </w:rPr>
        <w:t>DĖL 2021–2030 M. PLĖTROS PROGRAMOS VALDYTOJO LIETUVOS RESPUBLIKOS SOCIALINĖS APSAUGOS IR DARBO MINISTERIJOS PAJAMŲ NELYGYBĖS MAŽINIMO PLĖTROS PROGRAMOS PATVIRTINIMO</w:t>
      </w:r>
      <w:r w:rsidRPr="008935CE">
        <w:rPr>
          <w:rFonts w:eastAsia="Andale Sans UI"/>
          <w:b/>
          <w:kern w:val="0"/>
          <w:lang w:eastAsia="lt-LT" w:bidi="en-US"/>
        </w:rPr>
        <w:t>“</w:t>
      </w:r>
      <w:r w:rsidRPr="008935CE">
        <w:rPr>
          <w:rFonts w:eastAsia="Andale Sans UI"/>
          <w:b/>
          <w:kern w:val="0"/>
          <w:lang w:eastAsia="en-US" w:bidi="en-US"/>
        </w:rPr>
        <w:t xml:space="preserve"> PROJEKTO</w:t>
      </w:r>
      <w:r w:rsidR="00AB3D59" w:rsidRPr="008935CE">
        <w:rPr>
          <w:rFonts w:eastAsia="Andale Sans UI"/>
          <w:b/>
          <w:kern w:val="0"/>
          <w:lang w:eastAsia="en-US" w:bidi="en-US"/>
        </w:rPr>
        <w:t xml:space="preserve"> </w:t>
      </w:r>
    </w:p>
    <w:p w14:paraId="2D60E0CB" w14:textId="6143B938" w:rsidR="008E6F32" w:rsidRPr="008935CE" w:rsidRDefault="008E6F32" w:rsidP="008935CE">
      <w:pPr>
        <w:jc w:val="center"/>
        <w:rPr>
          <w:rFonts w:eastAsia="Andale Sans UI"/>
          <w:b/>
          <w:kern w:val="0"/>
          <w:lang w:eastAsia="en-US" w:bidi="en-US"/>
        </w:rPr>
      </w:pPr>
      <w:r w:rsidRPr="008935CE">
        <w:rPr>
          <w:b/>
          <w:bCs/>
        </w:rPr>
        <w:t>DERINIMO PAŽYMA</w:t>
      </w:r>
    </w:p>
    <w:p w14:paraId="789CA548" w14:textId="77777777" w:rsidR="008E6F32" w:rsidRPr="008935CE" w:rsidRDefault="008E6F32" w:rsidP="008935CE">
      <w:pPr>
        <w:rPr>
          <w:b/>
          <w:bCs/>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807"/>
        <w:gridCol w:w="6492"/>
      </w:tblGrid>
      <w:tr w:rsidR="003D1869" w:rsidRPr="008935CE" w14:paraId="6EA04E9D" w14:textId="77777777" w:rsidTr="00A11EE9">
        <w:trPr>
          <w:trHeight w:val="498"/>
        </w:trPr>
        <w:tc>
          <w:tcPr>
            <w:tcW w:w="2268" w:type="dxa"/>
            <w:vAlign w:val="center"/>
          </w:tcPr>
          <w:p w14:paraId="2C7DBDAF" w14:textId="77777777" w:rsidR="003D1869" w:rsidRPr="008935CE" w:rsidRDefault="003D1869" w:rsidP="008935CE">
            <w:pPr>
              <w:jc w:val="center"/>
            </w:pPr>
            <w:r w:rsidRPr="008935CE">
              <w:rPr>
                <w:b/>
                <w:bCs/>
              </w:rPr>
              <w:t>Institucijos pavadinimas, rašto data ir numeris</w:t>
            </w:r>
          </w:p>
        </w:tc>
        <w:tc>
          <w:tcPr>
            <w:tcW w:w="5807" w:type="dxa"/>
            <w:vAlign w:val="center"/>
          </w:tcPr>
          <w:p w14:paraId="6EE2A63B" w14:textId="77777777" w:rsidR="003D1869" w:rsidRPr="008935CE" w:rsidRDefault="003D1869" w:rsidP="008935CE">
            <w:pPr>
              <w:jc w:val="center"/>
            </w:pPr>
            <w:r w:rsidRPr="008935CE">
              <w:rPr>
                <w:b/>
                <w:bCs/>
              </w:rPr>
              <w:t>Pastabos ir pasiūlymai</w:t>
            </w:r>
          </w:p>
        </w:tc>
        <w:tc>
          <w:tcPr>
            <w:tcW w:w="6492" w:type="dxa"/>
            <w:vAlign w:val="center"/>
          </w:tcPr>
          <w:p w14:paraId="08102677" w14:textId="43A10B5E" w:rsidR="003D1869" w:rsidRPr="008935CE" w:rsidRDefault="003D1869" w:rsidP="008935CE">
            <w:pPr>
              <w:jc w:val="center"/>
            </w:pPr>
            <w:r w:rsidRPr="008935CE">
              <w:rPr>
                <w:b/>
                <w:bCs/>
              </w:rPr>
              <w:t xml:space="preserve">Argumentai, kodėl </w:t>
            </w:r>
            <w:r w:rsidR="00AB3D59" w:rsidRPr="008935CE">
              <w:rPr>
                <w:b/>
                <w:bCs/>
              </w:rPr>
              <w:t>atsižvelgta iš dalies/</w:t>
            </w:r>
            <w:r w:rsidRPr="008935CE">
              <w:rPr>
                <w:b/>
                <w:bCs/>
              </w:rPr>
              <w:t>neatsižvelgta į institucijų pastabas ir pasiūlymus</w:t>
            </w:r>
          </w:p>
        </w:tc>
      </w:tr>
      <w:tr w:rsidR="003D1869" w:rsidRPr="008935CE" w14:paraId="08EF9267" w14:textId="77777777" w:rsidTr="00A11EE9">
        <w:trPr>
          <w:trHeight w:val="1015"/>
        </w:trPr>
        <w:tc>
          <w:tcPr>
            <w:tcW w:w="2268" w:type="dxa"/>
          </w:tcPr>
          <w:p w14:paraId="461295F2" w14:textId="4DC1550A" w:rsidR="003D1869" w:rsidRPr="008935CE" w:rsidRDefault="00195DF3" w:rsidP="008935CE">
            <w:r w:rsidRPr="008935CE">
              <w:t>Nacionalinio skurdo mažinimo organizacijų tinklo</w:t>
            </w:r>
            <w:r w:rsidR="003D1869" w:rsidRPr="008935CE">
              <w:t xml:space="preserve"> 20</w:t>
            </w:r>
            <w:r w:rsidRPr="008935CE">
              <w:t>21</w:t>
            </w:r>
            <w:r w:rsidR="008935CE" w:rsidRPr="008935CE">
              <w:t xml:space="preserve"> m. liepos 1 d.</w:t>
            </w:r>
            <w:r w:rsidR="003D1869" w:rsidRPr="008935CE">
              <w:t xml:space="preserve"> raštas </w:t>
            </w:r>
            <w:r w:rsidR="00F00C9A" w:rsidRPr="008935CE">
              <w:t xml:space="preserve">Nr. </w:t>
            </w:r>
            <w:r w:rsidR="00CE0BC2" w:rsidRPr="008935CE">
              <w:t>NSMOT 21/07/01/01</w:t>
            </w:r>
          </w:p>
          <w:p w14:paraId="520F3EFA" w14:textId="77777777" w:rsidR="003D1869" w:rsidRPr="008935CE" w:rsidRDefault="003D1869" w:rsidP="008935CE"/>
        </w:tc>
        <w:tc>
          <w:tcPr>
            <w:tcW w:w="5807" w:type="dxa"/>
            <w:tcBorders>
              <w:top w:val="single" w:sz="4" w:space="0" w:color="auto"/>
              <w:bottom w:val="single" w:sz="4" w:space="0" w:color="auto"/>
            </w:tcBorders>
          </w:tcPr>
          <w:p w14:paraId="058EFB3E" w14:textId="77777777" w:rsidR="00195DF3" w:rsidRPr="008935CE" w:rsidRDefault="00195DF3" w:rsidP="008935CE">
            <w:pPr>
              <w:jc w:val="both"/>
            </w:pPr>
            <w:r w:rsidRPr="008935CE">
              <w:t>Pajamų nelygybė jau ilgą laiką yra viena didžiausių Lietuvos problemų. Tai akcentuoja ir tarptautinės organizacijos kaip Ekonominio bendradarbiavimo ir plėtros agentūra. Atsižvelgiant į tai, džiaugiamės, kad pajamų nelygybės mažinimas yra vienas iš Nacionalinio pažangos plano tikslų.</w:t>
            </w:r>
          </w:p>
          <w:p w14:paraId="59491DCA" w14:textId="77777777" w:rsidR="00195DF3" w:rsidRPr="008935CE" w:rsidRDefault="00195DF3" w:rsidP="008935CE">
            <w:pPr>
              <w:jc w:val="both"/>
            </w:pPr>
          </w:p>
          <w:p w14:paraId="6508A4EC" w14:textId="77777777" w:rsidR="00195DF3" w:rsidRPr="008935CE" w:rsidRDefault="00195DF3" w:rsidP="008935CE">
            <w:pPr>
              <w:jc w:val="both"/>
            </w:pPr>
            <w:r w:rsidRPr="008935CE">
              <w:t xml:space="preserve">Teigiamai vertiname, kad Pajamų nelygybės mažinimo plėtros programoje atsispindi siekis didinti draudiminių bei paramos išmokų adekvatumą, aprėptį ir išmokų poveikį skurdo mažinimui, taip pat mažinti mokestinę naštą dirbantiesiems. Kita vertus, dalis rodiklių iki šiol nėra pakankamai ambicingi, skurdo rizikos lygis tarp vienišų senyvo amžiaus asmenų, šalpos pensijų santykis su MVPD, vidutinės senatvės pensijos santykis su skurdo rizikos riba.  </w:t>
            </w:r>
          </w:p>
          <w:p w14:paraId="17ABEA12" w14:textId="77777777" w:rsidR="00195DF3" w:rsidRPr="008935CE" w:rsidRDefault="00195DF3" w:rsidP="008935CE">
            <w:pPr>
              <w:jc w:val="both"/>
            </w:pPr>
          </w:p>
          <w:p w14:paraId="393F8370" w14:textId="12750168" w:rsidR="00195DF3" w:rsidRPr="008935CE" w:rsidRDefault="00195DF3" w:rsidP="008935CE">
            <w:pPr>
              <w:jc w:val="both"/>
            </w:pPr>
            <w:r w:rsidRPr="008935CE">
              <w:t>Atkreipiame dėmesį, kad Pajamų nelygybės programoje numatomos finansinės projekcijos numato mažą biudžetą numatytoms priemonėms. Atsižvelgiant į tai, kad Socialinės apsaugos ir darbo ministerijos pateiktais skaičiavimais vien vienišo asmens pensijai kasmet prireiks apie 106 mln. Eur, didelį susirūpinimą kelia šioje plėtros programoje  numatytų priemonių finansavimo tvarumas.</w:t>
            </w:r>
          </w:p>
          <w:p w14:paraId="54A243CA" w14:textId="77777777" w:rsidR="00195DF3" w:rsidRPr="008935CE" w:rsidRDefault="00195DF3" w:rsidP="008935CE">
            <w:pPr>
              <w:jc w:val="both"/>
            </w:pPr>
          </w:p>
          <w:p w14:paraId="700F8FFF" w14:textId="77CBD564" w:rsidR="00195DF3" w:rsidRDefault="00195DF3" w:rsidP="008935CE">
            <w:pPr>
              <w:jc w:val="both"/>
            </w:pPr>
            <w:r w:rsidRPr="008935CE">
              <w:t xml:space="preserve">Atitinkamai </w:t>
            </w:r>
            <w:r w:rsidRPr="008935CE">
              <w:rPr>
                <w:b/>
              </w:rPr>
              <w:t xml:space="preserve">pasigendame konkrečių mokestinių priemonių ir kompensavimo mechanizmų, kurie leistų ne tik užsibrėžti ambicingesnius tikslus, bet ir užtikrintų tvarų numatytų išmokų augimą, o taip pat ir </w:t>
            </w:r>
            <w:r w:rsidRPr="008935CE">
              <w:rPr>
                <w:b/>
              </w:rPr>
              <w:lastRenderedPageBreak/>
              <w:t>viešųjų paslaugų plėtrą</w:t>
            </w:r>
            <w:r w:rsidRPr="008935CE">
              <w:t xml:space="preserve">. </w:t>
            </w:r>
          </w:p>
          <w:p w14:paraId="61C66459" w14:textId="77777777" w:rsidR="00404BE7" w:rsidRPr="008935CE" w:rsidRDefault="00404BE7" w:rsidP="008935CE">
            <w:pPr>
              <w:jc w:val="both"/>
            </w:pPr>
          </w:p>
          <w:p w14:paraId="20140DE5" w14:textId="13049076" w:rsidR="00195DF3" w:rsidRDefault="00195DF3" w:rsidP="008935CE">
            <w:pPr>
              <w:jc w:val="both"/>
            </w:pPr>
            <w:r w:rsidRPr="008935CE">
              <w:t>Jau ne vienerius metus Europos Komisija ragina Lietuvą mažinti nelygybę pirmiausia didinant mokesčių ir išmokų sistemos veiksmingumą. Paskutinių metų  Europos Komisijos ataskaitose Lietuvai pabrėžiama, kad gyventojų pajamų mokesčio progresyvumas išlieka žemas, o Lietuvos mokesčių santykis su BVP yra vienas mažiausių ES. Tai atitinkamai lemia ir itin žemą socialinės apsaugos – socialinių išmokų ir paslaugų – finansavimą, o tuo pačiu ir ribotą poveikį skurdo, socialinės atskirties ir nelygybės mažinimui.</w:t>
            </w:r>
          </w:p>
          <w:p w14:paraId="3126C873" w14:textId="77777777" w:rsidR="00404BE7" w:rsidRPr="008935CE" w:rsidRDefault="00404BE7" w:rsidP="008935CE">
            <w:pPr>
              <w:jc w:val="both"/>
            </w:pPr>
          </w:p>
          <w:p w14:paraId="3C65BF2B" w14:textId="37E4A57E" w:rsidR="00195DF3" w:rsidRDefault="00195DF3" w:rsidP="008935CE">
            <w:pPr>
              <w:jc w:val="both"/>
            </w:pPr>
            <w:r w:rsidRPr="008935CE">
              <w:t>Sveikintina, kad šiuo metu yra peržiūrima mokestinių lengvatų sistema ir tikimės, kad tai prisidės prie didesnio perskirstymo, tačiau šiuo metu mokesčių lengvatų peržiūros darbo grupėje nėra keliamas tikslas iš esmės peržiūrėti visą mokesčių sistemą, didinti jos progresyvumą ir artėti prie Europos Sąjungos perskirstymo vidurkio.</w:t>
            </w:r>
          </w:p>
          <w:p w14:paraId="59AD91B6" w14:textId="77777777" w:rsidR="00404BE7" w:rsidRPr="008935CE" w:rsidRDefault="00404BE7" w:rsidP="008935CE">
            <w:pPr>
              <w:jc w:val="both"/>
            </w:pPr>
          </w:p>
          <w:p w14:paraId="2DEFE366" w14:textId="7624C7AE" w:rsidR="003D1869" w:rsidRPr="008935CE" w:rsidRDefault="00195DF3" w:rsidP="008935CE">
            <w:pPr>
              <w:jc w:val="both"/>
              <w:rPr>
                <w:b/>
              </w:rPr>
            </w:pPr>
            <w:r w:rsidRPr="008935CE">
              <w:rPr>
                <w:b/>
              </w:rPr>
              <w:t>Todėl raginame Finansų ministeriją imtis lyderystės ir į Pajamų nelygybės programą įtraukti konkrečias mokestines priemones, kurios didintų mokesčių progresyvumą ir perskirstymą šalyje.</w:t>
            </w:r>
          </w:p>
        </w:tc>
        <w:tc>
          <w:tcPr>
            <w:tcW w:w="6492" w:type="dxa"/>
            <w:tcBorders>
              <w:top w:val="single" w:sz="4" w:space="0" w:color="auto"/>
              <w:bottom w:val="single" w:sz="4" w:space="0" w:color="auto"/>
            </w:tcBorders>
            <w:shd w:val="clear" w:color="auto" w:fill="auto"/>
          </w:tcPr>
          <w:p w14:paraId="377C5383" w14:textId="102A33D7" w:rsidR="00E91C61" w:rsidRPr="008935CE" w:rsidRDefault="00E91C61" w:rsidP="008935CE">
            <w:pPr>
              <w:jc w:val="both"/>
              <w:rPr>
                <w:b/>
                <w:bCs/>
              </w:rPr>
            </w:pPr>
            <w:r w:rsidRPr="008935CE">
              <w:rPr>
                <w:b/>
                <w:bCs/>
              </w:rPr>
              <w:lastRenderedPageBreak/>
              <w:t>Neatsižvelgta.</w:t>
            </w:r>
          </w:p>
          <w:p w14:paraId="35B5D29F" w14:textId="78E20A0A" w:rsidR="00E91C61" w:rsidRPr="008935CE" w:rsidRDefault="00E91C61" w:rsidP="008935CE">
            <w:pPr>
              <w:jc w:val="both"/>
            </w:pPr>
            <w:r w:rsidRPr="008935CE">
              <w:t>Atsižvelgdami į Nacionalinio skurdo mažinimo organizacijų tinklo išvadoje pateiktą siūlymą</w:t>
            </w:r>
            <w:r w:rsidR="00DF3F37" w:rsidRPr="008935CE">
              <w:t>,</w:t>
            </w:r>
            <w:r w:rsidRPr="008935CE">
              <w:t xml:space="preserve"> į Pajamų nelygybės </w:t>
            </w:r>
            <w:r w:rsidR="009829FD" w:rsidRPr="008935CE">
              <w:t xml:space="preserve">mažinimo </w:t>
            </w:r>
            <w:r w:rsidRPr="008935CE">
              <w:t>programą</w:t>
            </w:r>
            <w:r w:rsidR="009829FD" w:rsidRPr="008935CE">
              <w:t xml:space="preserve"> (toliau – PP)</w:t>
            </w:r>
            <w:r w:rsidRPr="008935CE">
              <w:t xml:space="preserve"> įtraukti konkrečias mokestines priemones, kurios didintų mokesčių progresyvumą ir perskirstymą šalyje, pažymime, kad  </w:t>
            </w:r>
            <w:r w:rsidR="00DF3F37" w:rsidRPr="008935CE">
              <w:t>Lietuvos Respublikos f</w:t>
            </w:r>
            <w:r w:rsidRPr="008935CE">
              <w:t>inansų ministerijos Tvarių viešųjų finansų plėtros programos projekte (toliau</w:t>
            </w:r>
            <w:r w:rsidR="00DF3F37" w:rsidRPr="008935CE">
              <w:t xml:space="preserve"> –</w:t>
            </w:r>
            <w:r w:rsidRPr="008935CE">
              <w:t xml:space="preserve"> FM PP), sprendžiant joje numatytą uždavinį ,,Didinti viešųjų finansų ir valstybės turto valdymo ir panaudojimo efektyvumą" kaip vienas iš uždavinio ir/ar tikslo rodiklių numatytas pajamų iš mokesčių ir socialinio draudimo įmokų dalies nuo BVP didinimas (siektina tarpinė reikšmė 2025 m. </w:t>
            </w:r>
            <w:r w:rsidR="00421FC7">
              <w:t>–</w:t>
            </w:r>
            <w:r w:rsidRPr="008935CE">
              <w:t xml:space="preserve"> 32,5 proc., siektina galutinė reikšmė 2030 m. </w:t>
            </w:r>
            <w:r w:rsidR="00421FC7">
              <w:t>–</w:t>
            </w:r>
            <w:r w:rsidRPr="008935CE">
              <w:t xml:space="preserve"> </w:t>
            </w:r>
            <w:r w:rsidR="00304F0B" w:rsidRPr="002C5024">
              <w:t>3</w:t>
            </w:r>
            <w:r w:rsidR="002C5024" w:rsidRPr="002C5024">
              <w:t>2,5</w:t>
            </w:r>
            <w:r w:rsidRPr="008935CE">
              <w:t xml:space="preserve"> proc.), kartu indikuojant, kad mažas pajamų perskirstymas riboja šalies galimybes užtikrinti adekvatų viešųjų paslaugų finansavimą ir kokybę, o taip pat riboja galimybes padidinti mokesčių-išmokų sistemos vaidmenį mažinant skurdą ir pajamų nelygybę. Atitinkamai, FM PP yra numatytos ir mokestinės priemonės, šiuo metu indikuojamos kaip galimos priemonės, šiam rodikliui pasiekti. </w:t>
            </w:r>
          </w:p>
          <w:p w14:paraId="1B5DF4CB" w14:textId="77777777" w:rsidR="00E91C61" w:rsidRPr="008935CE" w:rsidRDefault="00E91C61" w:rsidP="008935CE">
            <w:pPr>
              <w:jc w:val="both"/>
            </w:pPr>
          </w:p>
          <w:p w14:paraId="7E84D56D" w14:textId="6300E25C" w:rsidR="00E91C61" w:rsidRPr="008935CE" w:rsidRDefault="00E91C61" w:rsidP="008935CE">
            <w:pPr>
              <w:jc w:val="both"/>
            </w:pPr>
            <w:r w:rsidRPr="008935CE">
              <w:t xml:space="preserve">Papildomai pažymime, kad siekiant įvertinti mokesčių ir socialinių išmokų sistemos veiksmingumą apsaugant nuo skurdo, numatoma EUROMOD modelį pritaikyti administraciniams duomenims, remiantis juo 2022 metais atlikti gyventojų pajamų apmokestinimo ir  socialinio draudimo sistemos efektyvumo analizę. Atsižvelgiant į analizės dėl gyventojų pajamų apmokestinimo ir </w:t>
            </w:r>
            <w:r w:rsidR="00404BE7">
              <w:t xml:space="preserve">valstybinio </w:t>
            </w:r>
            <w:r w:rsidRPr="008935CE">
              <w:t xml:space="preserve">socialinio draudimo įmokų ir išmokų efektyvumo mažinant skurdą ir pajamų nelygybę rezultatus, bus teikiami pasiūlymai, kuriais galėtų būti </w:t>
            </w:r>
            <w:r w:rsidRPr="008935CE">
              <w:lastRenderedPageBreak/>
              <w:t xml:space="preserve">tobulinamas gyventojų pajamų apmokestinimas ir </w:t>
            </w:r>
            <w:r w:rsidR="00404BE7">
              <w:t>valstybinio</w:t>
            </w:r>
            <w:r w:rsidRPr="008935CE">
              <w:t xml:space="preserve"> socialinio draudimo įmokos bei išmokos, numatant galimą jų pagrindu parengtų teisės aktų taikymą</w:t>
            </w:r>
            <w:r w:rsidR="00404BE7">
              <w:t>, jei jiems būtų pritarta,</w:t>
            </w:r>
            <w:r w:rsidRPr="008935CE">
              <w:t xml:space="preserve">  ne anksčiau kaip nuo 2024 metų.</w:t>
            </w:r>
          </w:p>
          <w:p w14:paraId="3CB794DB" w14:textId="095BA55E" w:rsidR="00E91C61" w:rsidRPr="008935CE" w:rsidRDefault="00E91C61" w:rsidP="008935CE">
            <w:pPr>
              <w:jc w:val="both"/>
            </w:pPr>
          </w:p>
          <w:p w14:paraId="0B2172AC" w14:textId="6E7A8266" w:rsidR="003D1869" w:rsidRDefault="00E91C61" w:rsidP="008935CE">
            <w:pPr>
              <w:jc w:val="both"/>
            </w:pPr>
            <w:r w:rsidRPr="008935CE">
              <w:t xml:space="preserve">Atsižvelgiant į tai, </w:t>
            </w:r>
            <w:r w:rsidR="00404BE7">
              <w:t xml:space="preserve">kas išdėstyta, </w:t>
            </w:r>
            <w:r w:rsidR="00404BE7" w:rsidRPr="008935CE">
              <w:t xml:space="preserve">Lietuvos Respublikos socialinės apsaugos ir darbo ministerijos (toliau – SADM) </w:t>
            </w:r>
            <w:r w:rsidR="00404BE7">
              <w:t xml:space="preserve">ir </w:t>
            </w:r>
            <w:r w:rsidRPr="008935CE">
              <w:t xml:space="preserve">Finansų ministerijos nuomone, prie pajamų iš mokesčių ir </w:t>
            </w:r>
            <w:r w:rsidR="00585064">
              <w:t xml:space="preserve">valstybinio </w:t>
            </w:r>
            <w:r w:rsidRPr="008935CE">
              <w:t xml:space="preserve">socialinio draudimo įmokų dalies nuo BVP didinimo prisidėsiančios mokestinės priemonės neturėtų būti papildomai įtraukiamos ir į SADM kuruojamą </w:t>
            </w:r>
            <w:r w:rsidR="009829FD" w:rsidRPr="008935CE">
              <w:t>PP</w:t>
            </w:r>
            <w:r w:rsidRPr="008935CE">
              <w:t>.</w:t>
            </w:r>
          </w:p>
          <w:p w14:paraId="0C9EF3D5" w14:textId="77777777" w:rsidR="00585064" w:rsidRDefault="00585064" w:rsidP="008935CE">
            <w:pPr>
              <w:jc w:val="both"/>
            </w:pPr>
          </w:p>
          <w:p w14:paraId="2588B760" w14:textId="43A3C6F9" w:rsidR="00585064" w:rsidRPr="008935CE" w:rsidRDefault="00585064" w:rsidP="00585064">
            <w:pPr>
              <w:jc w:val="both"/>
            </w:pPr>
            <w:r w:rsidRPr="008935CE">
              <w:t>Kartu atkreiptinas dėmesys</w:t>
            </w:r>
            <w:r>
              <w:t xml:space="preserve"> į tai</w:t>
            </w:r>
            <w:r w:rsidRPr="008935CE">
              <w:t xml:space="preserve">, kad mokesčių dalies nuo BVP didinimas pats savaime neužtikrina socialinių išmokų, prisidedančių prie pajamų nelygybės mažinimo, didėjimo, nes mūsų nuomone, visų pirma, turėtų būti sutarta, į kokias sritis </w:t>
            </w:r>
            <w:r>
              <w:t xml:space="preserve">turėtų </w:t>
            </w:r>
            <w:r w:rsidRPr="008935CE">
              <w:t>būt</w:t>
            </w:r>
            <w:r>
              <w:t>i</w:t>
            </w:r>
            <w:r w:rsidRPr="008935CE">
              <w:t xml:space="preserve"> nukreipta </w:t>
            </w:r>
            <w:r>
              <w:t>nustačius</w:t>
            </w:r>
            <w:r w:rsidRPr="008935CE">
              <w:t xml:space="preserve"> didesnius mokesčius sur</w:t>
            </w:r>
            <w:r>
              <w:t>inkta</w:t>
            </w:r>
            <w:r w:rsidRPr="008935CE">
              <w:t xml:space="preserve"> papildoma lėšų suma</w:t>
            </w:r>
            <w:r>
              <w:t>. Tai</w:t>
            </w:r>
            <w:r w:rsidRPr="008935CE">
              <w:t xml:space="preserve"> akcentuojama ir </w:t>
            </w:r>
            <w:r w:rsidRPr="00404BE7">
              <w:t xml:space="preserve">Aštuonioliktosios Lietuvos Respublikos </w:t>
            </w:r>
            <w:r w:rsidRPr="008935CE">
              <w:t>Vyriausybės programoje</w:t>
            </w:r>
            <w:r>
              <w:t>,</w:t>
            </w:r>
            <w:r w:rsidRPr="008935CE">
              <w:t xml:space="preserve"> nurodant, kad iš pradžių reikia sutarti dėl viešojo sektoriaus įsipareigojimų masto viešųjų paslaugų, infrastruktūros, gynybos, žaliojo kurso ir ekonomikos transformacijos srityse ir tik įtvirtinus siekiamą modelį ir diskutuojant dėl jo finansavimo tartis dėl galimų esminių mokestinių pakeitimų. </w:t>
            </w:r>
          </w:p>
        </w:tc>
      </w:tr>
      <w:tr w:rsidR="00566BAB" w:rsidRPr="008935CE" w14:paraId="0465D28E" w14:textId="77777777" w:rsidTr="002C5024">
        <w:trPr>
          <w:trHeight w:val="577"/>
        </w:trPr>
        <w:tc>
          <w:tcPr>
            <w:tcW w:w="2268" w:type="dxa"/>
          </w:tcPr>
          <w:p w14:paraId="0038906A" w14:textId="50CE413B" w:rsidR="00566BAB" w:rsidRPr="008935CE" w:rsidRDefault="00566BAB" w:rsidP="008935CE">
            <w:r w:rsidRPr="008935CE">
              <w:lastRenderedPageBreak/>
              <w:t>Lietuvos Respublikos švietimo, mokslo ir sporto ministerijos 2021</w:t>
            </w:r>
            <w:r w:rsidR="008935CE" w:rsidRPr="008935CE">
              <w:t xml:space="preserve"> m. liepos 7 d. raštas </w:t>
            </w:r>
            <w:r w:rsidRPr="008935CE">
              <w:t>Nr. SR-2905</w:t>
            </w:r>
          </w:p>
        </w:tc>
        <w:tc>
          <w:tcPr>
            <w:tcW w:w="5807" w:type="dxa"/>
            <w:tcBorders>
              <w:top w:val="single" w:sz="4" w:space="0" w:color="auto"/>
              <w:bottom w:val="single" w:sz="4" w:space="0" w:color="auto"/>
            </w:tcBorders>
          </w:tcPr>
          <w:p w14:paraId="3BE4527C" w14:textId="77777777" w:rsidR="00566BAB" w:rsidRPr="008935CE" w:rsidRDefault="00566BAB" w:rsidP="008935CE">
            <w:pPr>
              <w:widowControl/>
              <w:tabs>
                <w:tab w:val="left" w:pos="1560"/>
              </w:tabs>
              <w:suppressAutoHyphens w:val="0"/>
              <w:jc w:val="both"/>
            </w:pPr>
            <w:r w:rsidRPr="008935CE">
              <w:t>Reikėtų patikslinti, kokia moterų ir vyrų segregacija įžvelgiama švietime – teisinė ar faktinė. Nemanome, kad egzistuoja teisinė segregacija švietime. Segregacinius efektus lemia faktinės žmonių nuostatos (moterys nesirenka fizinės jėgos reikalaujančių užsiėmimų, vyrai irgi nesirenka dalies profesijų dėl įvairių sumetimų ir t.t.), o ne kokie nors teisės aktai. Nepasakant tiesos iki galo, formuojama netiksli nuomonė dėl segregacijos švietime ir daromos abejotinos išvados.</w:t>
            </w:r>
          </w:p>
          <w:p w14:paraId="60FA22AD" w14:textId="77777777" w:rsidR="00566BAB" w:rsidRPr="008935CE" w:rsidRDefault="00566BAB" w:rsidP="008935CE">
            <w:pPr>
              <w:pStyle w:val="Sraopastraipa"/>
              <w:tabs>
                <w:tab w:val="left" w:pos="1560"/>
              </w:tabs>
              <w:ind w:left="0"/>
              <w:jc w:val="both"/>
            </w:pPr>
          </w:p>
          <w:p w14:paraId="1508E191" w14:textId="13A94609" w:rsidR="00566BAB" w:rsidRPr="008935CE" w:rsidRDefault="00566BAB" w:rsidP="002C5024">
            <w:pPr>
              <w:pStyle w:val="Sraopastraipa"/>
              <w:tabs>
                <w:tab w:val="left" w:pos="1560"/>
              </w:tabs>
              <w:ind w:left="0"/>
              <w:jc w:val="both"/>
            </w:pPr>
            <w:r w:rsidRPr="008935CE">
              <w:t xml:space="preserve">Siūlome performuluoti 3 problemos 3.2 priežastį į „Tradicinė (ne teisinė) profesinė vyrų ir moterų </w:t>
            </w:r>
            <w:r w:rsidRPr="008935CE">
              <w:lastRenderedPageBreak/>
              <w:t>segregacija, pasireiškianti darbo rinkoje, švietimo pasirinkimuose ir kitur“ ar pan.</w:t>
            </w:r>
          </w:p>
        </w:tc>
        <w:tc>
          <w:tcPr>
            <w:tcW w:w="6492" w:type="dxa"/>
            <w:tcBorders>
              <w:top w:val="single" w:sz="4" w:space="0" w:color="auto"/>
              <w:bottom w:val="single" w:sz="4" w:space="0" w:color="auto"/>
            </w:tcBorders>
            <w:shd w:val="clear" w:color="auto" w:fill="auto"/>
          </w:tcPr>
          <w:p w14:paraId="723C947E" w14:textId="04FAD41D" w:rsidR="00D77EFA" w:rsidRPr="008935CE" w:rsidRDefault="00D77EFA" w:rsidP="008935CE">
            <w:pPr>
              <w:rPr>
                <w:b/>
                <w:bCs/>
              </w:rPr>
            </w:pPr>
            <w:r w:rsidRPr="008935CE">
              <w:rPr>
                <w:b/>
                <w:bCs/>
              </w:rPr>
              <w:lastRenderedPageBreak/>
              <w:t>Atsižvelgta iš dalies.</w:t>
            </w:r>
          </w:p>
          <w:p w14:paraId="2891BF30" w14:textId="5FF07353" w:rsidR="00566BAB" w:rsidRPr="008935CE" w:rsidRDefault="00E111D0" w:rsidP="008935CE">
            <w:pPr>
              <w:jc w:val="both"/>
            </w:pPr>
            <w:r>
              <w:t>PP 3 problemos 3.2 priežasties f</w:t>
            </w:r>
            <w:r w:rsidR="00D77EFA" w:rsidRPr="008935CE">
              <w:t>ormuluotė pakoreguota iš „</w:t>
            </w:r>
            <w:r w:rsidR="00D77EFA" w:rsidRPr="008935CE">
              <w:rPr>
                <w:i/>
                <w:iCs/>
              </w:rPr>
              <w:t>Moterų ir vyrų segregacija švietime ir darbo rinkoje</w:t>
            </w:r>
            <w:r w:rsidR="00D77EFA" w:rsidRPr="008935CE">
              <w:t>“ į „</w:t>
            </w:r>
            <w:r w:rsidR="00D77EFA" w:rsidRPr="008935CE">
              <w:rPr>
                <w:i/>
                <w:iCs/>
              </w:rPr>
              <w:t>Faktinė vyrų ir moterų segregacija, pasireiškianti darbo rinkoje, švietimo pasirinkimuose ir kitur</w:t>
            </w:r>
            <w:r w:rsidR="00D77EFA" w:rsidRPr="008935CE">
              <w:t>“</w:t>
            </w:r>
            <w:r w:rsidR="004B7D07" w:rsidRPr="008935CE">
              <w:t>.</w:t>
            </w:r>
          </w:p>
          <w:p w14:paraId="5F4878EA" w14:textId="77777777" w:rsidR="004B7D07" w:rsidRPr="008935CE" w:rsidRDefault="004B7D07" w:rsidP="008935CE">
            <w:pPr>
              <w:jc w:val="both"/>
            </w:pPr>
          </w:p>
          <w:p w14:paraId="10C22DDB" w14:textId="4E3EE59B" w:rsidR="004B7D07" w:rsidRPr="008935CE" w:rsidRDefault="00421FC7" w:rsidP="008935CE">
            <w:pPr>
              <w:jc w:val="both"/>
            </w:pPr>
            <w:r>
              <w:t>Nepritariame siūlymui</w:t>
            </w:r>
            <w:r w:rsidR="004B7D07" w:rsidRPr="008935CE">
              <w:t xml:space="preserve"> problemos priežasties pavadinime </w:t>
            </w:r>
            <w:r>
              <w:t>nurodyti</w:t>
            </w:r>
            <w:r w:rsidR="004B7D07" w:rsidRPr="008935CE">
              <w:t xml:space="preserve"> termin</w:t>
            </w:r>
            <w:r>
              <w:t>ą</w:t>
            </w:r>
            <w:r w:rsidR="004B7D07" w:rsidRPr="008935CE">
              <w:t xml:space="preserve"> „</w:t>
            </w:r>
            <w:r>
              <w:t xml:space="preserve">ne </w:t>
            </w:r>
            <w:r w:rsidR="004B7D07" w:rsidRPr="008935CE">
              <w:t>teisinė“</w:t>
            </w:r>
            <w:r>
              <w:t xml:space="preserve"> segregacija</w:t>
            </w:r>
            <w:r w:rsidR="004B7D07" w:rsidRPr="008935CE">
              <w:t xml:space="preserve">, </w:t>
            </w:r>
            <w:r>
              <w:t xml:space="preserve">nes jis yra perteklinis ir nesukuriantis pridėtinės vertės. Pabrėžiame, kad </w:t>
            </w:r>
            <w:r w:rsidR="004B7D07" w:rsidRPr="008935CE">
              <w:t xml:space="preserve">problemos priežasties paaiškinime šio tipo segregacija nėra minima. </w:t>
            </w:r>
            <w:r>
              <w:t>PP</w:t>
            </w:r>
            <w:r w:rsidR="004B7D07" w:rsidRPr="008935CE">
              <w:t xml:space="preserve"> priede pateikiamas detalus problemos priežasties aprašymas, kuri</w:t>
            </w:r>
            <w:r w:rsidR="00FE3C87" w:rsidRPr="008935CE">
              <w:t>ame</w:t>
            </w:r>
            <w:r w:rsidR="004B7D07" w:rsidRPr="008935CE">
              <w:t xml:space="preserve"> įvardijam</w:t>
            </w:r>
            <w:r w:rsidR="00FE3C87" w:rsidRPr="008935CE">
              <w:t>i</w:t>
            </w:r>
            <w:r w:rsidR="004B7D07" w:rsidRPr="008935CE">
              <w:t xml:space="preserve"> konkrečių diskriminacinių apraiškų tipai. </w:t>
            </w:r>
            <w:r w:rsidR="004B7D07" w:rsidRPr="008935CE">
              <w:lastRenderedPageBreak/>
              <w:t>Teisinė segregacija niekur tekste nėra nurodoma kaip viena iš problemos priežasčių, kadangi nėra įrodymų, rodančių, jog švietime šio tipo segregacija egzistuoja.</w:t>
            </w:r>
          </w:p>
        </w:tc>
      </w:tr>
      <w:tr w:rsidR="00566BAB" w:rsidRPr="008935CE" w14:paraId="00AA09E4" w14:textId="77777777" w:rsidTr="00A11EE9">
        <w:trPr>
          <w:trHeight w:val="1015"/>
        </w:trPr>
        <w:tc>
          <w:tcPr>
            <w:tcW w:w="2268" w:type="dxa"/>
          </w:tcPr>
          <w:p w14:paraId="723811DC" w14:textId="5DFB50AF" w:rsidR="00566BAB" w:rsidRPr="008935CE" w:rsidRDefault="00566BAB" w:rsidP="008935CE"/>
        </w:tc>
        <w:tc>
          <w:tcPr>
            <w:tcW w:w="5807" w:type="dxa"/>
            <w:tcBorders>
              <w:top w:val="single" w:sz="4" w:space="0" w:color="auto"/>
              <w:bottom w:val="single" w:sz="4" w:space="0" w:color="auto"/>
            </w:tcBorders>
          </w:tcPr>
          <w:p w14:paraId="6C121217" w14:textId="54AAB7CF" w:rsidR="00566BAB" w:rsidRPr="008935CE" w:rsidRDefault="00566BAB" w:rsidP="008935CE">
            <w:pPr>
              <w:widowControl/>
              <w:tabs>
                <w:tab w:val="left" w:pos="1560"/>
              </w:tabs>
              <w:suppressAutoHyphens w:val="0"/>
              <w:jc w:val="both"/>
            </w:pPr>
            <w:r w:rsidRPr="008935CE">
              <w:t>Nepateikta objektyvių duomenų, kad „trūksta profesinio orientavimo užsiėmimų, kurių metu mokiniai mokykloje gali tiesiogiai bendrauti su skirtingų profesijų atstovais, nepriklauso nuo lyties ir matyti tikrus, nestereotipinius pavyzdžius darbo rinkoje“.</w:t>
            </w:r>
          </w:p>
        </w:tc>
        <w:tc>
          <w:tcPr>
            <w:tcW w:w="6492" w:type="dxa"/>
            <w:tcBorders>
              <w:top w:val="single" w:sz="4" w:space="0" w:color="auto"/>
              <w:bottom w:val="single" w:sz="4" w:space="0" w:color="auto"/>
            </w:tcBorders>
            <w:shd w:val="clear" w:color="auto" w:fill="auto"/>
          </w:tcPr>
          <w:p w14:paraId="61FED4C2" w14:textId="3972CC2C" w:rsidR="00D77EFA" w:rsidRPr="008935CE" w:rsidRDefault="00D77EFA" w:rsidP="008935CE">
            <w:pPr>
              <w:rPr>
                <w:b/>
                <w:bCs/>
              </w:rPr>
            </w:pPr>
            <w:r w:rsidRPr="008935CE">
              <w:rPr>
                <w:b/>
                <w:bCs/>
              </w:rPr>
              <w:t>Neatsižvelgta.</w:t>
            </w:r>
          </w:p>
          <w:p w14:paraId="0C4CFD9C" w14:textId="37CB9B8C" w:rsidR="00FE3C87" w:rsidRPr="008935CE" w:rsidRDefault="00E91C61" w:rsidP="00404BE7">
            <w:pPr>
              <w:jc w:val="both"/>
            </w:pPr>
            <w:r w:rsidRPr="008935CE">
              <w:t xml:space="preserve">Problema identifikuota remiantis ekspertiniu vertinimu (interviu su šios srities ekspertais ir šioje srityje dirbančiais profesionalais). </w:t>
            </w:r>
            <w:r w:rsidR="00421FC7">
              <w:t>PP</w:t>
            </w:r>
            <w:r w:rsidRPr="008935CE">
              <w:t xml:space="preserve"> nėra kalbama apie šio trūkumo (šios problemos) m</w:t>
            </w:r>
            <w:r w:rsidR="00421FC7">
              <w:t>a</w:t>
            </w:r>
            <w:r w:rsidRPr="008935CE">
              <w:t xml:space="preserve">stą </w:t>
            </w:r>
            <w:r w:rsidR="00D77EFA" w:rsidRPr="008935CE">
              <w:t xml:space="preserve">dėl </w:t>
            </w:r>
            <w:r w:rsidRPr="008935CE">
              <w:t xml:space="preserve">kiekybinių </w:t>
            </w:r>
            <w:r w:rsidR="00D77EFA" w:rsidRPr="008935CE">
              <w:t xml:space="preserve">duomenų </w:t>
            </w:r>
            <w:r w:rsidRPr="008935CE">
              <w:t>šia tema nebuvimo</w:t>
            </w:r>
            <w:r w:rsidR="00421FC7">
              <w:t>, t</w:t>
            </w:r>
            <w:r w:rsidR="00FE3C87" w:rsidRPr="008935CE">
              <w:t>ačiau kiekybinių duomenų trūkumas neturėtų tapti pagrindu nekalbėti apie šios problemos egzistavimą.</w:t>
            </w:r>
          </w:p>
        </w:tc>
      </w:tr>
      <w:tr w:rsidR="00566BAB" w:rsidRPr="008935CE" w14:paraId="51B54BCD" w14:textId="77777777" w:rsidTr="00A11EE9">
        <w:trPr>
          <w:trHeight w:val="1015"/>
        </w:trPr>
        <w:tc>
          <w:tcPr>
            <w:tcW w:w="2268" w:type="dxa"/>
          </w:tcPr>
          <w:p w14:paraId="2F970927" w14:textId="40C540BE" w:rsidR="00566BAB" w:rsidRPr="008935CE" w:rsidRDefault="00566BAB" w:rsidP="008935CE"/>
        </w:tc>
        <w:tc>
          <w:tcPr>
            <w:tcW w:w="5807" w:type="dxa"/>
            <w:tcBorders>
              <w:top w:val="single" w:sz="4" w:space="0" w:color="auto"/>
              <w:bottom w:val="single" w:sz="4" w:space="0" w:color="auto"/>
            </w:tcBorders>
          </w:tcPr>
          <w:p w14:paraId="74BADB65" w14:textId="77777777" w:rsidR="00566BAB" w:rsidRPr="008935CE" w:rsidRDefault="00566BAB" w:rsidP="008935CE">
            <w:pPr>
              <w:widowControl/>
              <w:tabs>
                <w:tab w:val="left" w:pos="1560"/>
              </w:tabs>
              <w:suppressAutoHyphens w:val="0"/>
              <w:jc w:val="both"/>
            </w:pPr>
            <w:r w:rsidRPr="008935CE">
              <w:t>Visiškai nesutinkame, kad pajamų nelygybės priežastis yra „3.3. Švietimo sistemos rezultatų netolygumai“. Atvirkščiai, tarptautiniai tyrimai (OECD PISA, IEA TIMSS, PIRLS ir kt.) įrodo, kad švietimo rezultatams įtaką daro socialinis, ekonominis ir kultūrinis kontekstas, ypač šeimos. Lietuvos statistikos duomenys irgi parodo, kad asmenų išsilavinimas priklauso nuo šeimos pajamų (žr. Nacionalinio pažangos plano 3.2.5 rodiklį) – kuo namų ūkio pajamos žemesnės, tuo tuose namų ūkiuose yra mažiau asmenų, turinčių aukštąjį išsilavinimą. Švietimas tik stengiasi sušvelninti šias pajamų nelygybės pasekmes, o ne sukelia jas. Ne švietimas yra pajamų nelygybės priežastis, o pajamų nelygybė daro didžiulę įtaką pasiekto išsilavinimo lygiui.</w:t>
            </w:r>
          </w:p>
          <w:p w14:paraId="219BE725" w14:textId="77777777" w:rsidR="00566BAB" w:rsidRPr="008935CE" w:rsidRDefault="00566BAB" w:rsidP="008935CE">
            <w:pPr>
              <w:widowControl/>
              <w:tabs>
                <w:tab w:val="left" w:pos="1560"/>
              </w:tabs>
              <w:suppressAutoHyphens w:val="0"/>
              <w:jc w:val="both"/>
            </w:pPr>
          </w:p>
          <w:p w14:paraId="5046EDD4" w14:textId="6A5199AE" w:rsidR="00566BAB" w:rsidRPr="008935CE" w:rsidRDefault="00566BAB" w:rsidP="002C5024">
            <w:pPr>
              <w:pStyle w:val="Sraopastraipa"/>
              <w:tabs>
                <w:tab w:val="left" w:pos="1560"/>
              </w:tabs>
              <w:ind w:left="0"/>
              <w:jc w:val="both"/>
            </w:pPr>
            <w:r w:rsidRPr="008935CE">
              <w:t>Siūlome išbraukti 3.3 priežastį „Švietimo sistemos rezultatų netolygumai“ kaip neatitinkančią tikrovės.</w:t>
            </w:r>
          </w:p>
        </w:tc>
        <w:tc>
          <w:tcPr>
            <w:tcW w:w="6492" w:type="dxa"/>
            <w:tcBorders>
              <w:top w:val="single" w:sz="4" w:space="0" w:color="auto"/>
              <w:bottom w:val="single" w:sz="4" w:space="0" w:color="auto"/>
            </w:tcBorders>
            <w:shd w:val="clear" w:color="auto" w:fill="auto"/>
          </w:tcPr>
          <w:p w14:paraId="1DC81FBF" w14:textId="57818E30" w:rsidR="00566BAB" w:rsidRPr="008935CE" w:rsidRDefault="00566BAB" w:rsidP="008935CE">
            <w:pPr>
              <w:jc w:val="both"/>
              <w:rPr>
                <w:b/>
                <w:bCs/>
              </w:rPr>
            </w:pPr>
            <w:r w:rsidRPr="008935CE">
              <w:rPr>
                <w:b/>
                <w:bCs/>
              </w:rPr>
              <w:t>Neatsižvelgt</w:t>
            </w:r>
            <w:r w:rsidR="008935CE" w:rsidRPr="008935CE">
              <w:rPr>
                <w:b/>
                <w:bCs/>
              </w:rPr>
              <w:t>a</w:t>
            </w:r>
            <w:r w:rsidRPr="008935CE">
              <w:rPr>
                <w:b/>
                <w:bCs/>
              </w:rPr>
              <w:t>.</w:t>
            </w:r>
          </w:p>
          <w:p w14:paraId="391A4073" w14:textId="5EDA87DA" w:rsidR="00421FC7" w:rsidRDefault="00421FC7" w:rsidP="008935CE">
            <w:pPr>
              <w:jc w:val="both"/>
            </w:pPr>
            <w:r w:rsidRPr="002C5024">
              <w:rPr>
                <w:i/>
                <w:iCs/>
              </w:rPr>
              <w:t>Pirma</w:t>
            </w:r>
            <w:r>
              <w:t>, a</w:t>
            </w:r>
            <w:r w:rsidR="00F06A2D" w:rsidRPr="008935CE">
              <w:t>tlikti moksliniai tyrimai</w:t>
            </w:r>
            <w:r w:rsidRPr="008935CE">
              <w:rPr>
                <w:rStyle w:val="Puslapioinaosnuoroda"/>
              </w:rPr>
              <w:footnoteReference w:id="1"/>
            </w:r>
            <w:r w:rsidR="00F06A2D" w:rsidRPr="008935CE">
              <w:t xml:space="preserve"> rodo, jog egzistuoja abipusis priklausomybinis ryšys – švietimo rezultatams įtaką daro socioekonominis kontekstas, tačiau nuo švietimo rezultatų taip pat priklauso pajamų lygis ateityje</w:t>
            </w:r>
            <w:r w:rsidR="004022A7" w:rsidRPr="008935CE">
              <w:t xml:space="preserve"> bei pajamų pasiskirstymas</w:t>
            </w:r>
            <w:r w:rsidR="00F06A2D" w:rsidRPr="008935CE">
              <w:t xml:space="preserve">. </w:t>
            </w:r>
          </w:p>
          <w:p w14:paraId="640674D1" w14:textId="77777777" w:rsidR="00421FC7" w:rsidRDefault="00421FC7" w:rsidP="008935CE">
            <w:pPr>
              <w:jc w:val="both"/>
              <w:rPr>
                <w:i/>
                <w:iCs/>
              </w:rPr>
            </w:pPr>
          </w:p>
          <w:p w14:paraId="4C1EB93E" w14:textId="009A9AD4" w:rsidR="00566BAB" w:rsidRPr="008935CE" w:rsidRDefault="00421FC7" w:rsidP="008935CE">
            <w:pPr>
              <w:jc w:val="both"/>
              <w:rPr>
                <w:color w:val="FF0000"/>
              </w:rPr>
            </w:pPr>
            <w:r w:rsidRPr="002C5024">
              <w:rPr>
                <w:i/>
                <w:iCs/>
              </w:rPr>
              <w:t>Antra</w:t>
            </w:r>
            <w:r>
              <w:t xml:space="preserve">, </w:t>
            </w:r>
            <w:r w:rsidRPr="00421FC7">
              <w:t xml:space="preserve">Lietuvos Respublikos švietimo, mokslo ir sporto ministerijos </w:t>
            </w:r>
            <w:r>
              <w:t>p</w:t>
            </w:r>
            <w:r w:rsidR="00F06A2D" w:rsidRPr="008935CE">
              <w:t xml:space="preserve">astaboje minimos tarptautinės organizacijos (OECD, PISA, IEA TIMSS, PIRLS ir kt.) nėra pateikusios įrodymų, jog švietimo rezultatai nedaro įtakos asmens pajamų lygiui ateityje. </w:t>
            </w:r>
          </w:p>
        </w:tc>
      </w:tr>
      <w:tr w:rsidR="00566BAB" w:rsidRPr="008935CE" w14:paraId="4A22F0D5" w14:textId="77777777" w:rsidTr="00A11EE9">
        <w:trPr>
          <w:trHeight w:val="1015"/>
        </w:trPr>
        <w:tc>
          <w:tcPr>
            <w:tcW w:w="2268" w:type="dxa"/>
          </w:tcPr>
          <w:p w14:paraId="4723777C" w14:textId="77777777" w:rsidR="008935CE" w:rsidRPr="008935CE" w:rsidRDefault="00566BAB" w:rsidP="008935CE">
            <w:r w:rsidRPr="008935CE">
              <w:t xml:space="preserve">Lietuvos Respublikos teisingumo </w:t>
            </w:r>
            <w:r w:rsidRPr="008935CE">
              <w:lastRenderedPageBreak/>
              <w:t>ministerij</w:t>
            </w:r>
            <w:r w:rsidR="0005121E" w:rsidRPr="008935CE">
              <w:t xml:space="preserve">os </w:t>
            </w:r>
          </w:p>
          <w:p w14:paraId="64B7C70C" w14:textId="18113C71" w:rsidR="00566BAB" w:rsidRPr="008935CE" w:rsidRDefault="008378E8" w:rsidP="008935CE">
            <w:r w:rsidRPr="008935CE">
              <w:t>2021</w:t>
            </w:r>
            <w:r w:rsidR="008935CE" w:rsidRPr="008935CE">
              <w:t xml:space="preserve"> m. birželio </w:t>
            </w:r>
            <w:r w:rsidR="008935CE" w:rsidRPr="008935CE">
              <w:br/>
              <w:t xml:space="preserve">30 d. raštas </w:t>
            </w:r>
            <w:r w:rsidR="0005121E" w:rsidRPr="008935CE">
              <w:t xml:space="preserve">Nr. </w:t>
            </w:r>
            <w:r w:rsidR="00764E3C" w:rsidRPr="008935CE">
              <w:t>(1.6Mr) 2T-695</w:t>
            </w:r>
          </w:p>
        </w:tc>
        <w:tc>
          <w:tcPr>
            <w:tcW w:w="5807" w:type="dxa"/>
            <w:tcBorders>
              <w:top w:val="single" w:sz="4" w:space="0" w:color="auto"/>
              <w:bottom w:val="single" w:sz="4" w:space="0" w:color="auto"/>
            </w:tcBorders>
          </w:tcPr>
          <w:p w14:paraId="6504895C" w14:textId="305953A6" w:rsidR="00836BFF" w:rsidRPr="008935CE" w:rsidRDefault="00836BFF" w:rsidP="008935CE">
            <w:pPr>
              <w:jc w:val="both"/>
            </w:pPr>
            <w:r w:rsidRPr="008935CE">
              <w:lastRenderedPageBreak/>
              <w:t xml:space="preserve">„Plėtros programos priemonių rinkinyje siūloma priemonė „Tobulinti vienišų tėvų/globėjų pajamų apsaugos sistemą“, o kaip viena iš dalyvaujančių institucijų numatoma </w:t>
            </w:r>
            <w:r w:rsidRPr="008935CE">
              <w:lastRenderedPageBreak/>
              <w:t>Teisingumo ministerija. Įvertinus atitinkamos problemos „Žemos vienišų tėvų/globėjų (ypač vienišų motinų) namų ūkių pajamos bei šių asmenų skurdas“ aprašymą, manytina, kad šios problemos eliminavimas ir su tuo susijusios priemonės nepatenka į Teisingumo ministerijos kompetenciją. Problemos aprašyme nurodoma Finansų ministerija, todėl tikėtina, kad turėtų būti ištaisytas techninis netikslumas ir nurodoma Finansų ministerija vietoje Teisingumo ministerijos. Prašytume šią informaciją patikslinti.“</w:t>
            </w:r>
          </w:p>
          <w:p w14:paraId="2595FDCB" w14:textId="77777777" w:rsidR="008935CE" w:rsidRPr="008935CE" w:rsidRDefault="008935CE" w:rsidP="008935CE">
            <w:pPr>
              <w:jc w:val="both"/>
            </w:pPr>
          </w:p>
          <w:p w14:paraId="7A168328" w14:textId="35031898" w:rsidR="00836BFF" w:rsidRPr="008935CE" w:rsidRDefault="00836BFF" w:rsidP="008935CE">
            <w:pPr>
              <w:pStyle w:val="doc-ti"/>
              <w:spacing w:after="0"/>
              <w:jc w:val="both"/>
            </w:pPr>
            <w:r w:rsidRPr="008935CE">
              <w:t>Nors priemonės pavadinimas ir transformuotas į „Didinti tėvų (įtėvių, globėjų, rūpintojų) vienų auginančių (globojančių, besirūpinančių) vaikus ir (ar) neįgaliuosius, pajamas“, visgi jos sąsajos su Teisingumo ministerijos veiklos sritimi ir vykdomomis priemonėmis nei pačioje plėtros programoje nei teikime nėra atskleistos ir pagrįstos. Neprieštaraudami Teisingumo ministerijos numatymui dalyvaujančia programos priemonės vykdyme institucija, manome, kad tokiu atveju plėtros programos turinys turėtų atskleisti sąsajas su Teisingumo ministerijos veiklos sritimi ir kompetencija.</w:t>
            </w:r>
          </w:p>
          <w:p w14:paraId="09E4F1DD" w14:textId="77777777" w:rsidR="009E1BA7" w:rsidRPr="008935CE" w:rsidRDefault="009E1BA7" w:rsidP="008935CE">
            <w:pPr>
              <w:pStyle w:val="doc-ti"/>
              <w:spacing w:after="0"/>
              <w:jc w:val="both"/>
            </w:pPr>
          </w:p>
          <w:p w14:paraId="795C0B58" w14:textId="77777777" w:rsidR="00566BAB" w:rsidRPr="008935CE" w:rsidRDefault="00566BAB" w:rsidP="002C5024">
            <w:pPr>
              <w:pStyle w:val="doc-ti"/>
              <w:spacing w:after="0"/>
              <w:jc w:val="both"/>
            </w:pPr>
          </w:p>
        </w:tc>
        <w:tc>
          <w:tcPr>
            <w:tcW w:w="6492" w:type="dxa"/>
            <w:tcBorders>
              <w:top w:val="single" w:sz="4" w:space="0" w:color="auto"/>
              <w:bottom w:val="single" w:sz="4" w:space="0" w:color="auto"/>
            </w:tcBorders>
            <w:shd w:val="clear" w:color="auto" w:fill="auto"/>
          </w:tcPr>
          <w:p w14:paraId="09A9308D" w14:textId="6CAA3453" w:rsidR="00836BFF" w:rsidRPr="008935CE" w:rsidRDefault="00E91C61" w:rsidP="008935CE">
            <w:pPr>
              <w:jc w:val="both"/>
            </w:pPr>
            <w:r w:rsidRPr="008935CE">
              <w:rPr>
                <w:b/>
                <w:bCs/>
              </w:rPr>
              <w:lastRenderedPageBreak/>
              <w:t>Atsižvelgta iš dalies</w:t>
            </w:r>
            <w:r w:rsidR="00044333">
              <w:rPr>
                <w:b/>
                <w:bCs/>
              </w:rPr>
              <w:t>.</w:t>
            </w:r>
          </w:p>
          <w:p w14:paraId="6AD2FA9D" w14:textId="7EB7478C" w:rsidR="00044333" w:rsidRDefault="001A1679" w:rsidP="008935CE">
            <w:pPr>
              <w:jc w:val="both"/>
            </w:pPr>
            <w:r w:rsidRPr="008935CE">
              <w:t xml:space="preserve">Reaguodami į Teisingumo ministerijos pasiūlymą PP pagrindime pateikti išsamią tėvų (globėjų) vienų auginančių vaikus skurdo </w:t>
            </w:r>
            <w:r w:rsidRPr="008935CE">
              <w:lastRenderedPageBreak/>
              <w:t>priežasčių analizę, kurioje atsispindėtų šios problemos sąsajos su Teisingumo ministerijos kuruojamomis sritimis, norime pastebėti, jog</w:t>
            </w:r>
            <w:r w:rsidR="00836BFF" w:rsidRPr="008935CE">
              <w:t xml:space="preserve"> buvome išsakę prašymą</w:t>
            </w:r>
            <w:r w:rsidR="00E91C61" w:rsidRPr="008935CE">
              <w:t xml:space="preserve"> Teisingumo ministerijai</w:t>
            </w:r>
            <w:r w:rsidR="00836BFF" w:rsidRPr="008935CE">
              <w:t xml:space="preserve"> pateikti vaikų išlaikymo (alimentų) nustatymo, priteisimo ir išieškojimo esamos situacijos analizę pagal </w:t>
            </w:r>
            <w:r w:rsidR="00044333">
              <w:t xml:space="preserve">Teisingumo </w:t>
            </w:r>
            <w:r w:rsidR="00836BFF" w:rsidRPr="008935CE">
              <w:t xml:space="preserve">ministerijos kompetenciją, tačiau </w:t>
            </w:r>
            <w:r w:rsidRPr="008935CE">
              <w:t>Teisingumo m</w:t>
            </w:r>
            <w:r w:rsidR="00836BFF" w:rsidRPr="008935CE">
              <w:t>inisterija informavo, jog tokia analizė nebuvo daryta.</w:t>
            </w:r>
            <w:r w:rsidR="00012A20" w:rsidRPr="008935CE">
              <w:t xml:space="preserve"> Kadangi priteistas vaikų išlaikymas (alimentai) sudaro svarbią tėvų, vienų auginančių vaikus, pajamų dalį, be šios analizės negalime identifikuoti nagrinėjamos tikslinės grupės skurdo priežasčių.</w:t>
            </w:r>
          </w:p>
          <w:p w14:paraId="06CC2277" w14:textId="77777777" w:rsidR="00044333" w:rsidRDefault="00044333" w:rsidP="008935CE">
            <w:pPr>
              <w:jc w:val="both"/>
            </w:pPr>
          </w:p>
          <w:p w14:paraId="5B2C3610" w14:textId="5026F1A0" w:rsidR="00836BFF" w:rsidRPr="008935CE" w:rsidRDefault="00044333" w:rsidP="008935CE">
            <w:pPr>
              <w:jc w:val="both"/>
            </w:pPr>
            <w:r>
              <w:t>K</w:t>
            </w:r>
            <w:r w:rsidR="00CE0BC2" w:rsidRPr="008935CE">
              <w:t>adangi</w:t>
            </w:r>
            <w:r>
              <w:t xml:space="preserve">, </w:t>
            </w:r>
            <w:r w:rsidRPr="002C5024">
              <w:rPr>
                <w:i/>
                <w:iCs/>
              </w:rPr>
              <w:t>pirma</w:t>
            </w:r>
            <w:r>
              <w:t>,</w:t>
            </w:r>
            <w:r w:rsidR="00CE0BC2" w:rsidRPr="008935CE">
              <w:t xml:space="preserve"> vaikų išlaikymo (alimentų) </w:t>
            </w:r>
            <w:r>
              <w:t>priteisimo teisinio reguliavimo sritis</w:t>
            </w:r>
            <w:r w:rsidRPr="008935CE">
              <w:t xml:space="preserve"> </w:t>
            </w:r>
            <w:r w:rsidR="00CE0BC2" w:rsidRPr="008935CE">
              <w:t xml:space="preserve">nepatenka į SADM </w:t>
            </w:r>
            <w:r>
              <w:t>veiklos</w:t>
            </w:r>
            <w:r w:rsidRPr="008935CE">
              <w:t xml:space="preserve"> </w:t>
            </w:r>
            <w:r w:rsidR="00CE0BC2" w:rsidRPr="008935CE">
              <w:t xml:space="preserve">sričių sąrašą, </w:t>
            </w:r>
            <w:r w:rsidRPr="002C5024">
              <w:rPr>
                <w:i/>
                <w:iCs/>
              </w:rPr>
              <w:t>antra</w:t>
            </w:r>
            <w:r>
              <w:t xml:space="preserve">, </w:t>
            </w:r>
            <w:r w:rsidR="00012A20" w:rsidRPr="008935CE">
              <w:t>SADM nedisponuoja kompetencijomis ir duomenimis, reikalingais tokiai analizei atlikti</w:t>
            </w:r>
            <w:r>
              <w:t xml:space="preserve">, </w:t>
            </w:r>
            <w:r w:rsidR="00836BFF" w:rsidRPr="008935CE">
              <w:t>įgyvendinant PP priemonę, pirmiausia bus atlikta išsami esamos situacijos analizė, į kurios atlikimą bus įtraukta ir Teisingumo ministerija</w:t>
            </w:r>
            <w:r w:rsidR="00012A20" w:rsidRPr="008935CE">
              <w:t xml:space="preserve"> bei kitos susijusios institucijos (Nacionalinė teismų administracija, Lietuvos Respublikos Generalinė prokuratūra, asociacija Lietuvos antstolių rūmai ir kt.)</w:t>
            </w:r>
            <w:r w:rsidR="00836BFF" w:rsidRPr="008935CE">
              <w:t>. Šios analizės metu bus identifikuotos priežastys, lemiančios, kodėl tėvų</w:t>
            </w:r>
            <w:r w:rsidR="00180964" w:rsidRPr="008935CE">
              <w:t xml:space="preserve"> (globėjų), vienų auginančių vaikus,</w:t>
            </w:r>
            <w:r w:rsidR="00836BFF" w:rsidRPr="008935CE">
              <w:t xml:space="preserve"> skurd</w:t>
            </w:r>
            <w:r w:rsidR="00180964" w:rsidRPr="008935CE">
              <w:t>o rizikos lygis</w:t>
            </w:r>
            <w:r w:rsidR="00836BFF" w:rsidRPr="008935CE">
              <w:t xml:space="preserve"> Lietuvoje yra kone tris kartus didesnis nei „pilnų“ šeimų</w:t>
            </w:r>
            <w:r w:rsidR="001A1679" w:rsidRPr="008935CE">
              <w:t xml:space="preserve">. Tik atlikus šią analizę bus galima daryti išvadas apie tėvų, vienų auginančių vaikus, skurdo priežastis, kurios galimai patenka ne tik į SADM, bet ir kitų institucijų (Teisingumo ministerijos, </w:t>
            </w:r>
            <w:r w:rsidR="00012A20" w:rsidRPr="008935CE">
              <w:t>Nacionalinės teismų administracijos, Lietuvos Respublikos Generalinės prokuratūros, asociacijos Lietuvos antstolių rūmai ir kt.) kompetencijų sritį.</w:t>
            </w:r>
          </w:p>
        </w:tc>
      </w:tr>
      <w:tr w:rsidR="008935CE" w:rsidRPr="008935CE" w14:paraId="1ED9A4E3" w14:textId="77777777" w:rsidTr="00404BE7">
        <w:trPr>
          <w:trHeight w:val="577"/>
        </w:trPr>
        <w:tc>
          <w:tcPr>
            <w:tcW w:w="2268" w:type="dxa"/>
          </w:tcPr>
          <w:p w14:paraId="0FA0E820" w14:textId="77777777" w:rsidR="008935CE" w:rsidRPr="008935CE" w:rsidRDefault="008935CE" w:rsidP="008935CE"/>
        </w:tc>
        <w:tc>
          <w:tcPr>
            <w:tcW w:w="5807" w:type="dxa"/>
            <w:tcBorders>
              <w:top w:val="single" w:sz="4" w:space="0" w:color="auto"/>
              <w:bottom w:val="single" w:sz="4" w:space="0" w:color="auto"/>
            </w:tcBorders>
          </w:tcPr>
          <w:p w14:paraId="2AF5CD8C" w14:textId="4BDABB59" w:rsidR="008935CE" w:rsidRPr="008935CE" w:rsidDel="008935CE" w:rsidRDefault="008935CE" w:rsidP="00404BE7">
            <w:pPr>
              <w:pStyle w:val="doc-ti"/>
              <w:spacing w:after="0"/>
              <w:jc w:val="both"/>
            </w:pPr>
            <w:r w:rsidRPr="008935CE">
              <w:t xml:space="preserve">Taip pat dar kartą siūlome įvertinti galimybę ir norėtume pakartotinai paraginti įtraukti į diskusijas dėl bendradarbiavimo (dalyvavimo) įgyvendinant priemones teismų atstovus (Nacionalinę teismų administraciją), o prireikus, pagal Socialinės apsaugos ir darbo ministerijos (toliau – SADM) identifikuojamas sritis, ir kitus Vyriausybei nepavaldžius subjektus ar organizacijas – Generalinę prokuratūrą, Antstolių rūmus ir pan. Tai </w:t>
            </w:r>
            <w:r w:rsidRPr="008935CE">
              <w:lastRenderedPageBreak/>
              <w:t>atlieptų Teisingumo ministerijos ir SADM diskusijos metu SADM atstovų identifikuotą problematiką, susijusią su poreikiu analizuoti galimas intervencijas į teisėjų mokymų programas, informacijos sklaidą, teismų sprendimų vykdymo praktiką, teismų praktiką (ar jos analizę), sprendžiant aktualias šiai temai civilines bylas ir kt.</w:t>
            </w:r>
          </w:p>
        </w:tc>
        <w:tc>
          <w:tcPr>
            <w:tcW w:w="6492" w:type="dxa"/>
            <w:tcBorders>
              <w:top w:val="single" w:sz="4" w:space="0" w:color="auto"/>
              <w:bottom w:val="single" w:sz="4" w:space="0" w:color="auto"/>
            </w:tcBorders>
            <w:shd w:val="clear" w:color="auto" w:fill="auto"/>
          </w:tcPr>
          <w:p w14:paraId="0FAC90D8" w14:textId="5C3A83AF" w:rsidR="008935CE" w:rsidRPr="002C5024" w:rsidRDefault="008935CE" w:rsidP="008935CE">
            <w:pPr>
              <w:jc w:val="both"/>
              <w:rPr>
                <w:b/>
                <w:bCs/>
              </w:rPr>
            </w:pPr>
            <w:r w:rsidRPr="002C5024">
              <w:rPr>
                <w:b/>
                <w:bCs/>
              </w:rPr>
              <w:lastRenderedPageBreak/>
              <w:t>Atsižvelgta iš dalies</w:t>
            </w:r>
            <w:r w:rsidR="00404BE7">
              <w:rPr>
                <w:b/>
                <w:bCs/>
              </w:rPr>
              <w:t>.</w:t>
            </w:r>
          </w:p>
          <w:p w14:paraId="32DB36FF" w14:textId="19D1EEFA" w:rsidR="008935CE" w:rsidRPr="008935CE" w:rsidRDefault="008935CE" w:rsidP="00404BE7">
            <w:pPr>
              <w:jc w:val="both"/>
              <w:rPr>
                <w:b/>
                <w:bCs/>
              </w:rPr>
            </w:pPr>
            <w:r w:rsidRPr="008935CE">
              <w:t xml:space="preserve">SADM 2021 m. liepos 16 d. išsiuntė raštą Nr. (1.2.28Mr-4)SD-3501 Nacionalinei teismų administracijai, Lietuvos Respublikos </w:t>
            </w:r>
            <w:r w:rsidR="00044333">
              <w:t>g</w:t>
            </w:r>
            <w:r w:rsidRPr="008935CE">
              <w:t>eneralinei prokuratūrai, Lietuvos antstolių rūm</w:t>
            </w:r>
            <w:r w:rsidR="00044333">
              <w:t xml:space="preserve">ams, kuriuo nurodytų subjektų buvo paprašyta </w:t>
            </w:r>
            <w:r w:rsidRPr="008935CE">
              <w:t xml:space="preserve">pateikti savo poziciją dėl jų įtraukimo į PP priemonės „Didinti tėvų (įtėvių, globėjų, rūpintojų) vienų auginančių (globojančių, besirūpinančių) vaikus ir (ar) neįgaliuosius, pajamas“ (toliau – PP priemonė) įgyvendinimą. </w:t>
            </w:r>
            <w:r w:rsidRPr="008935CE">
              <w:lastRenderedPageBreak/>
              <w:t xml:space="preserve">Lietuvos antstolių rūmai sutiko būti nurodyta kaip viena iš PP priemonę įgyvendinančių institucijų. Nacionalinė teismų administracija ir Lietuvos Respublikos </w:t>
            </w:r>
            <w:r w:rsidR="00044333">
              <w:t>g</w:t>
            </w:r>
            <w:r w:rsidRPr="008935CE">
              <w:t>eneralinė prokuratūra nesutiko būti įtrauktos į PP tarp priemonę įgyvendinančių institucijų, tačiau nurodė sutinkančios bendradarbiauti ateityje rengiant šios priemonės alternatyvų analizę.</w:t>
            </w:r>
          </w:p>
        </w:tc>
      </w:tr>
    </w:tbl>
    <w:p w14:paraId="2D0D424B" w14:textId="77777777" w:rsidR="00623D2B" w:rsidRPr="008935CE" w:rsidRDefault="00623D2B" w:rsidP="008935CE">
      <w:pPr>
        <w:jc w:val="center"/>
      </w:pPr>
    </w:p>
    <w:p w14:paraId="70B50C49" w14:textId="77777777" w:rsidR="00623D2B" w:rsidRPr="008935CE" w:rsidRDefault="00623D2B" w:rsidP="008935CE">
      <w:pPr>
        <w:jc w:val="center"/>
      </w:pPr>
    </w:p>
    <w:p w14:paraId="6CA552F0" w14:textId="77777777" w:rsidR="006A5591" w:rsidRPr="008935CE" w:rsidRDefault="00E86436" w:rsidP="008935CE">
      <w:pPr>
        <w:jc w:val="center"/>
      </w:pPr>
      <w:r w:rsidRPr="008935CE">
        <w:t>________________________</w:t>
      </w:r>
    </w:p>
    <w:p w14:paraId="1D6BBC4C" w14:textId="77777777" w:rsidR="00E86436" w:rsidRPr="008935CE" w:rsidRDefault="00E86436" w:rsidP="008935CE">
      <w:pPr>
        <w:jc w:val="center"/>
      </w:pPr>
    </w:p>
    <w:sectPr w:rsidR="00E86436" w:rsidRPr="008935CE" w:rsidSect="00D653C8">
      <w:headerReference w:type="default" r:id="rId8"/>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EDD21" w14:textId="77777777" w:rsidR="00632259" w:rsidRDefault="00632259" w:rsidP="00B434DF">
      <w:r>
        <w:separator/>
      </w:r>
    </w:p>
  </w:endnote>
  <w:endnote w:type="continuationSeparator" w:id="0">
    <w:p w14:paraId="3419DAB0" w14:textId="77777777" w:rsidR="00632259" w:rsidRDefault="00632259" w:rsidP="00B4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Arial Unicode MS"/>
    <w:charset w:val="BA"/>
    <w:family w:val="swiss"/>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CC092" w14:textId="77777777" w:rsidR="00632259" w:rsidRDefault="00632259" w:rsidP="00B434DF">
      <w:r>
        <w:separator/>
      </w:r>
    </w:p>
  </w:footnote>
  <w:footnote w:type="continuationSeparator" w:id="0">
    <w:p w14:paraId="18256664" w14:textId="77777777" w:rsidR="00632259" w:rsidRDefault="00632259" w:rsidP="00B434DF">
      <w:r>
        <w:continuationSeparator/>
      </w:r>
    </w:p>
  </w:footnote>
  <w:footnote w:id="1">
    <w:p w14:paraId="09FBDF1A" w14:textId="77777777" w:rsidR="00421FC7" w:rsidRPr="004022A7" w:rsidRDefault="00421FC7" w:rsidP="002C5024">
      <w:pPr>
        <w:pStyle w:val="Puslapioinaostekstas"/>
        <w:jc w:val="both"/>
        <w:rPr>
          <w:rFonts w:ascii="Times New Roman" w:hAnsi="Times New Roman" w:cs="Times New Roman"/>
        </w:rPr>
      </w:pPr>
      <w:r w:rsidRPr="004022A7">
        <w:rPr>
          <w:rStyle w:val="Puslapioinaosnuoroda"/>
          <w:rFonts w:ascii="Times New Roman" w:hAnsi="Times New Roman" w:cs="Times New Roman"/>
        </w:rPr>
        <w:footnoteRef/>
      </w:r>
      <w:r w:rsidRPr="004022A7">
        <w:rPr>
          <w:rFonts w:ascii="Times New Roman" w:hAnsi="Times New Roman" w:cs="Times New Roman"/>
        </w:rPr>
        <w:t xml:space="preserve"> OECD, </w:t>
      </w:r>
      <w:r w:rsidRPr="004022A7">
        <w:rPr>
          <w:rFonts w:ascii="Times New Roman" w:hAnsi="Times New Roman" w:cs="Times New Roman"/>
          <w:i/>
          <w:iCs/>
        </w:rPr>
        <w:t>Divided we stand. Why inequality keeps rising</w:t>
      </w:r>
      <w:r w:rsidRPr="004022A7">
        <w:rPr>
          <w:rFonts w:ascii="Times New Roman" w:hAnsi="Times New Roman" w:cs="Times New Roman"/>
        </w:rPr>
        <w:t>, Paryžius: OECD Publishing, 2011;</w:t>
      </w:r>
    </w:p>
    <w:p w14:paraId="1EAA9FD2" w14:textId="77777777" w:rsidR="00421FC7" w:rsidRPr="004022A7" w:rsidRDefault="00421FC7" w:rsidP="002C5024">
      <w:pPr>
        <w:pStyle w:val="Puslapioinaostekstas"/>
        <w:jc w:val="both"/>
        <w:rPr>
          <w:rFonts w:ascii="Times New Roman" w:hAnsi="Times New Roman" w:cs="Times New Roman"/>
        </w:rPr>
      </w:pPr>
      <w:r w:rsidRPr="004022A7">
        <w:rPr>
          <w:rFonts w:ascii="Times New Roman" w:hAnsi="Times New Roman" w:cs="Times New Roman"/>
        </w:rPr>
        <w:t xml:space="preserve">David Coady ir Allan Dizioli, </w:t>
      </w:r>
      <w:r w:rsidRPr="004022A7">
        <w:rPr>
          <w:rFonts w:ascii="Times New Roman" w:hAnsi="Times New Roman" w:cs="Times New Roman"/>
          <w:i/>
          <w:iCs/>
        </w:rPr>
        <w:t xml:space="preserve">Income Inequality and Education Revisited: Persistence, Endogeneity, and Heterogeneity, </w:t>
      </w:r>
      <w:r w:rsidRPr="004022A7">
        <w:rPr>
          <w:rFonts w:ascii="Times New Roman" w:hAnsi="Times New Roman" w:cs="Times New Roman"/>
        </w:rPr>
        <w:t>IMF Working Paper</w:t>
      </w:r>
      <w:r w:rsidRPr="004022A7">
        <w:rPr>
          <w:rFonts w:ascii="Times New Roman" w:hAnsi="Times New Roman" w:cs="Times New Roman"/>
          <w:i/>
          <w:iCs/>
        </w:rPr>
        <w:t xml:space="preserve">, </w:t>
      </w:r>
      <w:r w:rsidRPr="004022A7">
        <w:rPr>
          <w:rFonts w:ascii="Times New Roman" w:hAnsi="Times New Roman" w:cs="Times New Roman"/>
        </w:rPr>
        <w:t>2017;</w:t>
      </w:r>
    </w:p>
    <w:p w14:paraId="12C1F7AF" w14:textId="08C005DE" w:rsidR="00421FC7" w:rsidRPr="004022A7" w:rsidRDefault="00421FC7" w:rsidP="002C5024">
      <w:pPr>
        <w:pStyle w:val="Puslapioinaostekstas"/>
        <w:jc w:val="both"/>
        <w:rPr>
          <w:rFonts w:ascii="Times New Roman" w:hAnsi="Times New Roman" w:cs="Times New Roman"/>
        </w:rPr>
      </w:pPr>
      <w:r w:rsidRPr="004022A7">
        <w:rPr>
          <w:rFonts w:ascii="Times New Roman" w:hAnsi="Times New Roman" w:cs="Times New Roman"/>
        </w:rPr>
        <w:t xml:space="preserve">Abdul Abdullah,Hristos Doucouliagos,Elizabeth Manning, </w:t>
      </w:r>
      <w:r w:rsidRPr="004022A7">
        <w:rPr>
          <w:rFonts w:ascii="Times New Roman" w:hAnsi="Times New Roman" w:cs="Times New Roman"/>
          <w:i/>
          <w:iCs/>
        </w:rPr>
        <w:t>Does education reduce income inequality? A meta-regression analysis</w:t>
      </w:r>
      <w:r w:rsidRPr="004022A7">
        <w:rPr>
          <w:rFonts w:ascii="Times New Roman" w:hAnsi="Times New Roman" w:cs="Times New Roman"/>
        </w:rPr>
        <w:t xml:space="preserve">, Journal of Economic Surveys (29: 2), </w:t>
      </w:r>
      <w:r w:rsidR="00044333">
        <w:rPr>
          <w:rFonts w:ascii="Times New Roman" w:hAnsi="Times New Roman" w:cs="Times New Roman"/>
        </w:rPr>
        <w:br/>
      </w:r>
      <w:r w:rsidRPr="004022A7">
        <w:rPr>
          <w:rFonts w:ascii="Times New Roman" w:hAnsi="Times New Roman" w:cs="Times New Roman"/>
        </w:rPr>
        <w:t>p. 301-316, 2013;</w:t>
      </w:r>
    </w:p>
    <w:p w14:paraId="3647B77C" w14:textId="77777777" w:rsidR="00421FC7" w:rsidRPr="004022A7" w:rsidRDefault="00421FC7" w:rsidP="002C5024">
      <w:pPr>
        <w:pStyle w:val="Puslapioinaostekstas"/>
        <w:jc w:val="both"/>
        <w:rPr>
          <w:rFonts w:ascii="Times New Roman" w:hAnsi="Times New Roman" w:cs="Times New Roman"/>
        </w:rPr>
      </w:pPr>
      <w:r w:rsidRPr="004022A7">
        <w:rPr>
          <w:rFonts w:ascii="Times New Roman" w:hAnsi="Times New Roman" w:cs="Times New Roman"/>
        </w:rPr>
        <w:t xml:space="preserve">Andrés Rodríguez-Pose,Vassilis Tselios, </w:t>
      </w:r>
      <w:r w:rsidRPr="004022A7">
        <w:rPr>
          <w:rFonts w:ascii="Times New Roman" w:hAnsi="Times New Roman" w:cs="Times New Roman"/>
          <w:i/>
          <w:iCs/>
        </w:rPr>
        <w:t>Education and income inequality in the regions of the European Union</w:t>
      </w:r>
      <w:r w:rsidRPr="004022A7">
        <w:rPr>
          <w:rFonts w:ascii="Times New Roman" w:hAnsi="Times New Roman" w:cs="Times New Roman"/>
        </w:rPr>
        <w:t>, Journal of Regional Science (49: 3) p. 411-437, 2009;</w:t>
      </w:r>
    </w:p>
    <w:p w14:paraId="7856F1C0" w14:textId="77777777" w:rsidR="00421FC7" w:rsidRPr="004022A7" w:rsidRDefault="00421FC7" w:rsidP="002C5024">
      <w:pPr>
        <w:pStyle w:val="Puslapioinaostekstas"/>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FAE0" w14:textId="77777777" w:rsidR="00B40FD4" w:rsidRDefault="00B40FD4">
    <w:pPr>
      <w:pStyle w:val="Antrats"/>
      <w:jc w:val="center"/>
    </w:pPr>
    <w:r>
      <w:fldChar w:fldCharType="begin"/>
    </w:r>
    <w:r>
      <w:instrText xml:space="preserve"> PAGE   \* MERGEFORMAT </w:instrText>
    </w:r>
    <w:r>
      <w:fldChar w:fldCharType="separate"/>
    </w:r>
    <w:r>
      <w:rPr>
        <w:noProof/>
      </w:rPr>
      <w:t>3</w:t>
    </w:r>
    <w:r>
      <w:rPr>
        <w:noProof/>
      </w:rPr>
      <w:fldChar w:fldCharType="end"/>
    </w:r>
  </w:p>
  <w:p w14:paraId="3B147111" w14:textId="77777777" w:rsidR="00B40FD4" w:rsidRDefault="00B40F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FE3198"/>
    <w:multiLevelType w:val="hybridMultilevel"/>
    <w:tmpl w:val="24A2A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173326"/>
    <w:multiLevelType w:val="hybridMultilevel"/>
    <w:tmpl w:val="9E802B2A"/>
    <w:lvl w:ilvl="0" w:tplc="845679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32"/>
    <w:rsid w:val="0000682F"/>
    <w:rsid w:val="00007F55"/>
    <w:rsid w:val="00012A20"/>
    <w:rsid w:val="00016BC4"/>
    <w:rsid w:val="00021562"/>
    <w:rsid w:val="00021C92"/>
    <w:rsid w:val="000440B2"/>
    <w:rsid w:val="00044333"/>
    <w:rsid w:val="00050176"/>
    <w:rsid w:val="0005070D"/>
    <w:rsid w:val="0005121E"/>
    <w:rsid w:val="0005423C"/>
    <w:rsid w:val="000612B7"/>
    <w:rsid w:val="00063AE9"/>
    <w:rsid w:val="00071137"/>
    <w:rsid w:val="0007152E"/>
    <w:rsid w:val="0007551C"/>
    <w:rsid w:val="00086186"/>
    <w:rsid w:val="00086ADD"/>
    <w:rsid w:val="00086EE5"/>
    <w:rsid w:val="00091CC1"/>
    <w:rsid w:val="000A4A5B"/>
    <w:rsid w:val="000A7707"/>
    <w:rsid w:val="000B3ADE"/>
    <w:rsid w:val="000B51B9"/>
    <w:rsid w:val="000B6FEB"/>
    <w:rsid w:val="000B7E38"/>
    <w:rsid w:val="000C195D"/>
    <w:rsid w:val="000C307F"/>
    <w:rsid w:val="000D1CAA"/>
    <w:rsid w:val="000D2466"/>
    <w:rsid w:val="000F1E3D"/>
    <w:rsid w:val="000F6CA2"/>
    <w:rsid w:val="00110DB0"/>
    <w:rsid w:val="00116727"/>
    <w:rsid w:val="00125985"/>
    <w:rsid w:val="0013610D"/>
    <w:rsid w:val="00137B2C"/>
    <w:rsid w:val="00146846"/>
    <w:rsid w:val="001533CD"/>
    <w:rsid w:val="00165FC8"/>
    <w:rsid w:val="00167757"/>
    <w:rsid w:val="00170451"/>
    <w:rsid w:val="00170ED2"/>
    <w:rsid w:val="00172169"/>
    <w:rsid w:val="00172874"/>
    <w:rsid w:val="00172B7B"/>
    <w:rsid w:val="00177409"/>
    <w:rsid w:val="001778A7"/>
    <w:rsid w:val="00180964"/>
    <w:rsid w:val="00191C27"/>
    <w:rsid w:val="00195DF3"/>
    <w:rsid w:val="001A0218"/>
    <w:rsid w:val="001A1679"/>
    <w:rsid w:val="001A4446"/>
    <w:rsid w:val="001A4B1B"/>
    <w:rsid w:val="001B34ED"/>
    <w:rsid w:val="001B5194"/>
    <w:rsid w:val="001B58D0"/>
    <w:rsid w:val="001D0002"/>
    <w:rsid w:val="001D0667"/>
    <w:rsid w:val="001D4EDC"/>
    <w:rsid w:val="001E489C"/>
    <w:rsid w:val="001E5BB7"/>
    <w:rsid w:val="00210030"/>
    <w:rsid w:val="00217D5B"/>
    <w:rsid w:val="0022088C"/>
    <w:rsid w:val="00227D82"/>
    <w:rsid w:val="0023447E"/>
    <w:rsid w:val="002348BD"/>
    <w:rsid w:val="00244D87"/>
    <w:rsid w:val="00262E73"/>
    <w:rsid w:val="00267AAA"/>
    <w:rsid w:val="00267BB4"/>
    <w:rsid w:val="00292B7F"/>
    <w:rsid w:val="0029561C"/>
    <w:rsid w:val="002A1B6F"/>
    <w:rsid w:val="002A77F0"/>
    <w:rsid w:val="002B2D8F"/>
    <w:rsid w:val="002B60B4"/>
    <w:rsid w:val="002B7C56"/>
    <w:rsid w:val="002B7D0D"/>
    <w:rsid w:val="002C2C80"/>
    <w:rsid w:val="002C3FDE"/>
    <w:rsid w:val="002C5024"/>
    <w:rsid w:val="002C5456"/>
    <w:rsid w:val="002D3600"/>
    <w:rsid w:val="002E2149"/>
    <w:rsid w:val="002E7221"/>
    <w:rsid w:val="00302AED"/>
    <w:rsid w:val="00304F0B"/>
    <w:rsid w:val="00310683"/>
    <w:rsid w:val="003131DE"/>
    <w:rsid w:val="00314E6D"/>
    <w:rsid w:val="00334556"/>
    <w:rsid w:val="003444AE"/>
    <w:rsid w:val="00353385"/>
    <w:rsid w:val="003618CE"/>
    <w:rsid w:val="00375E98"/>
    <w:rsid w:val="00376E0C"/>
    <w:rsid w:val="0038472F"/>
    <w:rsid w:val="00385D49"/>
    <w:rsid w:val="0039259D"/>
    <w:rsid w:val="00394AFD"/>
    <w:rsid w:val="00397269"/>
    <w:rsid w:val="00397664"/>
    <w:rsid w:val="003A5576"/>
    <w:rsid w:val="003A755F"/>
    <w:rsid w:val="003B50E5"/>
    <w:rsid w:val="003B549F"/>
    <w:rsid w:val="003C087F"/>
    <w:rsid w:val="003C4E48"/>
    <w:rsid w:val="003C71C7"/>
    <w:rsid w:val="003D1869"/>
    <w:rsid w:val="003D33AA"/>
    <w:rsid w:val="003D6DD6"/>
    <w:rsid w:val="003E4533"/>
    <w:rsid w:val="003E5E60"/>
    <w:rsid w:val="003F042D"/>
    <w:rsid w:val="003F3C27"/>
    <w:rsid w:val="003F4D3A"/>
    <w:rsid w:val="003F54B4"/>
    <w:rsid w:val="004020AD"/>
    <w:rsid w:val="004022A7"/>
    <w:rsid w:val="00404BE7"/>
    <w:rsid w:val="004175B9"/>
    <w:rsid w:val="00421FC7"/>
    <w:rsid w:val="004337E3"/>
    <w:rsid w:val="00437F56"/>
    <w:rsid w:val="00450860"/>
    <w:rsid w:val="00450CEA"/>
    <w:rsid w:val="004550EC"/>
    <w:rsid w:val="004704A7"/>
    <w:rsid w:val="00473B6C"/>
    <w:rsid w:val="004749C0"/>
    <w:rsid w:val="00475178"/>
    <w:rsid w:val="00476199"/>
    <w:rsid w:val="00483E73"/>
    <w:rsid w:val="004930CB"/>
    <w:rsid w:val="004A0CED"/>
    <w:rsid w:val="004A1040"/>
    <w:rsid w:val="004A2DF0"/>
    <w:rsid w:val="004A563F"/>
    <w:rsid w:val="004A6D78"/>
    <w:rsid w:val="004B02C4"/>
    <w:rsid w:val="004B27AC"/>
    <w:rsid w:val="004B7D07"/>
    <w:rsid w:val="004C7071"/>
    <w:rsid w:val="004D2430"/>
    <w:rsid w:val="004D404B"/>
    <w:rsid w:val="004E1239"/>
    <w:rsid w:val="004E1F2A"/>
    <w:rsid w:val="004E2F08"/>
    <w:rsid w:val="004E59F4"/>
    <w:rsid w:val="004F07D4"/>
    <w:rsid w:val="004F27C8"/>
    <w:rsid w:val="004F5011"/>
    <w:rsid w:val="004F758B"/>
    <w:rsid w:val="00505770"/>
    <w:rsid w:val="00510B54"/>
    <w:rsid w:val="0052448D"/>
    <w:rsid w:val="0053133C"/>
    <w:rsid w:val="00531955"/>
    <w:rsid w:val="0053359E"/>
    <w:rsid w:val="005378C8"/>
    <w:rsid w:val="005423B3"/>
    <w:rsid w:val="005436E1"/>
    <w:rsid w:val="00551B46"/>
    <w:rsid w:val="00566BAB"/>
    <w:rsid w:val="005715A0"/>
    <w:rsid w:val="00580358"/>
    <w:rsid w:val="0058354D"/>
    <w:rsid w:val="0058457B"/>
    <w:rsid w:val="00585064"/>
    <w:rsid w:val="00585AB7"/>
    <w:rsid w:val="0058702B"/>
    <w:rsid w:val="00592259"/>
    <w:rsid w:val="00592F06"/>
    <w:rsid w:val="0059626D"/>
    <w:rsid w:val="005A50CF"/>
    <w:rsid w:val="005B40C0"/>
    <w:rsid w:val="005D1C40"/>
    <w:rsid w:val="005E0E8C"/>
    <w:rsid w:val="005E0F97"/>
    <w:rsid w:val="005E1283"/>
    <w:rsid w:val="005F374E"/>
    <w:rsid w:val="005F63E8"/>
    <w:rsid w:val="00615073"/>
    <w:rsid w:val="00616C9B"/>
    <w:rsid w:val="0061743C"/>
    <w:rsid w:val="006176C0"/>
    <w:rsid w:val="0062175B"/>
    <w:rsid w:val="00621C95"/>
    <w:rsid w:val="00623D2B"/>
    <w:rsid w:val="00632259"/>
    <w:rsid w:val="00642041"/>
    <w:rsid w:val="00642E35"/>
    <w:rsid w:val="00643A22"/>
    <w:rsid w:val="00650B29"/>
    <w:rsid w:val="0065634C"/>
    <w:rsid w:val="00662222"/>
    <w:rsid w:val="00664E70"/>
    <w:rsid w:val="00667290"/>
    <w:rsid w:val="00685875"/>
    <w:rsid w:val="006923CE"/>
    <w:rsid w:val="00694E7E"/>
    <w:rsid w:val="006A0075"/>
    <w:rsid w:val="006A5591"/>
    <w:rsid w:val="006A624A"/>
    <w:rsid w:val="006B49D7"/>
    <w:rsid w:val="006C23B7"/>
    <w:rsid w:val="006C4398"/>
    <w:rsid w:val="006C458F"/>
    <w:rsid w:val="006C7218"/>
    <w:rsid w:val="006D06F6"/>
    <w:rsid w:val="006D5A43"/>
    <w:rsid w:val="006D6EFA"/>
    <w:rsid w:val="006D76A0"/>
    <w:rsid w:val="006E07C6"/>
    <w:rsid w:val="006E16F1"/>
    <w:rsid w:val="006E1B6A"/>
    <w:rsid w:val="006E2B42"/>
    <w:rsid w:val="006E3CA2"/>
    <w:rsid w:val="006E7FF8"/>
    <w:rsid w:val="006F25EB"/>
    <w:rsid w:val="00700419"/>
    <w:rsid w:val="007113C8"/>
    <w:rsid w:val="0071627D"/>
    <w:rsid w:val="007211A4"/>
    <w:rsid w:val="00721AD4"/>
    <w:rsid w:val="00724E73"/>
    <w:rsid w:val="00733D1D"/>
    <w:rsid w:val="00737BF0"/>
    <w:rsid w:val="00743744"/>
    <w:rsid w:val="007461F9"/>
    <w:rsid w:val="0074719F"/>
    <w:rsid w:val="00751F3B"/>
    <w:rsid w:val="00763F2B"/>
    <w:rsid w:val="00764E3C"/>
    <w:rsid w:val="00765303"/>
    <w:rsid w:val="0077144C"/>
    <w:rsid w:val="00771C0B"/>
    <w:rsid w:val="007769C2"/>
    <w:rsid w:val="00777245"/>
    <w:rsid w:val="007870FA"/>
    <w:rsid w:val="007912DD"/>
    <w:rsid w:val="007955CF"/>
    <w:rsid w:val="007A0F1F"/>
    <w:rsid w:val="007A15F6"/>
    <w:rsid w:val="007A5D5E"/>
    <w:rsid w:val="007B0CC1"/>
    <w:rsid w:val="007B41E4"/>
    <w:rsid w:val="007B6A31"/>
    <w:rsid w:val="007B6E34"/>
    <w:rsid w:val="007C08EC"/>
    <w:rsid w:val="007C3E9B"/>
    <w:rsid w:val="007C4E42"/>
    <w:rsid w:val="007D4AA9"/>
    <w:rsid w:val="007F62EC"/>
    <w:rsid w:val="00802D33"/>
    <w:rsid w:val="008053C8"/>
    <w:rsid w:val="00807917"/>
    <w:rsid w:val="00825B43"/>
    <w:rsid w:val="008274CF"/>
    <w:rsid w:val="0083223D"/>
    <w:rsid w:val="00833189"/>
    <w:rsid w:val="00836BFF"/>
    <w:rsid w:val="008378E8"/>
    <w:rsid w:val="008418EE"/>
    <w:rsid w:val="00847481"/>
    <w:rsid w:val="0085294F"/>
    <w:rsid w:val="00855742"/>
    <w:rsid w:val="00867CA2"/>
    <w:rsid w:val="00875F6F"/>
    <w:rsid w:val="00887837"/>
    <w:rsid w:val="00890DFE"/>
    <w:rsid w:val="00891443"/>
    <w:rsid w:val="008935CE"/>
    <w:rsid w:val="008A430D"/>
    <w:rsid w:val="008A535D"/>
    <w:rsid w:val="008B6E79"/>
    <w:rsid w:val="008C642C"/>
    <w:rsid w:val="008D0A44"/>
    <w:rsid w:val="008E3202"/>
    <w:rsid w:val="008E4A0D"/>
    <w:rsid w:val="008E4E18"/>
    <w:rsid w:val="008E6F32"/>
    <w:rsid w:val="008E79FE"/>
    <w:rsid w:val="00910451"/>
    <w:rsid w:val="00912E88"/>
    <w:rsid w:val="009133D8"/>
    <w:rsid w:val="009143CB"/>
    <w:rsid w:val="00925D39"/>
    <w:rsid w:val="009263A7"/>
    <w:rsid w:val="009269E0"/>
    <w:rsid w:val="009349CE"/>
    <w:rsid w:val="00935EA7"/>
    <w:rsid w:val="00937123"/>
    <w:rsid w:val="00946CE7"/>
    <w:rsid w:val="00947645"/>
    <w:rsid w:val="00951F9D"/>
    <w:rsid w:val="00954A98"/>
    <w:rsid w:val="009648DB"/>
    <w:rsid w:val="00973D00"/>
    <w:rsid w:val="009740F7"/>
    <w:rsid w:val="009775D5"/>
    <w:rsid w:val="0097762D"/>
    <w:rsid w:val="00981283"/>
    <w:rsid w:val="009829FD"/>
    <w:rsid w:val="00984034"/>
    <w:rsid w:val="009849AC"/>
    <w:rsid w:val="00992D98"/>
    <w:rsid w:val="00995BFA"/>
    <w:rsid w:val="009A020C"/>
    <w:rsid w:val="009A073B"/>
    <w:rsid w:val="009A0C05"/>
    <w:rsid w:val="009A5147"/>
    <w:rsid w:val="009A52EB"/>
    <w:rsid w:val="009B08A8"/>
    <w:rsid w:val="009B1C4C"/>
    <w:rsid w:val="009C3915"/>
    <w:rsid w:val="009C4FD6"/>
    <w:rsid w:val="009C6023"/>
    <w:rsid w:val="009D08B0"/>
    <w:rsid w:val="009D0CDC"/>
    <w:rsid w:val="009D372E"/>
    <w:rsid w:val="009D4D09"/>
    <w:rsid w:val="009D7F3E"/>
    <w:rsid w:val="009E0DB7"/>
    <w:rsid w:val="009E18EC"/>
    <w:rsid w:val="009E1BA7"/>
    <w:rsid w:val="009E6110"/>
    <w:rsid w:val="009F74CC"/>
    <w:rsid w:val="00A026AC"/>
    <w:rsid w:val="00A02E80"/>
    <w:rsid w:val="00A049C9"/>
    <w:rsid w:val="00A07880"/>
    <w:rsid w:val="00A11EE9"/>
    <w:rsid w:val="00A12BA2"/>
    <w:rsid w:val="00A15DB9"/>
    <w:rsid w:val="00A172B0"/>
    <w:rsid w:val="00A20E56"/>
    <w:rsid w:val="00A26397"/>
    <w:rsid w:val="00A339DE"/>
    <w:rsid w:val="00A33E12"/>
    <w:rsid w:val="00A50F85"/>
    <w:rsid w:val="00A6751F"/>
    <w:rsid w:val="00A7346D"/>
    <w:rsid w:val="00A91351"/>
    <w:rsid w:val="00A966B0"/>
    <w:rsid w:val="00A969CC"/>
    <w:rsid w:val="00AA5526"/>
    <w:rsid w:val="00AB121B"/>
    <w:rsid w:val="00AB18E4"/>
    <w:rsid w:val="00AB3D59"/>
    <w:rsid w:val="00AB7C9A"/>
    <w:rsid w:val="00AE2461"/>
    <w:rsid w:val="00AE3FB4"/>
    <w:rsid w:val="00AF093E"/>
    <w:rsid w:val="00B0229A"/>
    <w:rsid w:val="00B10079"/>
    <w:rsid w:val="00B14DB3"/>
    <w:rsid w:val="00B36AC8"/>
    <w:rsid w:val="00B40FD4"/>
    <w:rsid w:val="00B41FB8"/>
    <w:rsid w:val="00B434DF"/>
    <w:rsid w:val="00B469E2"/>
    <w:rsid w:val="00B46D58"/>
    <w:rsid w:val="00B522EF"/>
    <w:rsid w:val="00B52E7C"/>
    <w:rsid w:val="00B57090"/>
    <w:rsid w:val="00B57BA4"/>
    <w:rsid w:val="00B70101"/>
    <w:rsid w:val="00B71D47"/>
    <w:rsid w:val="00B71F0C"/>
    <w:rsid w:val="00B80A31"/>
    <w:rsid w:val="00B84C0E"/>
    <w:rsid w:val="00B8622F"/>
    <w:rsid w:val="00B91F27"/>
    <w:rsid w:val="00B92DB4"/>
    <w:rsid w:val="00B94DFA"/>
    <w:rsid w:val="00BB2E19"/>
    <w:rsid w:val="00BB366E"/>
    <w:rsid w:val="00BB4071"/>
    <w:rsid w:val="00BC0108"/>
    <w:rsid w:val="00BC0DA9"/>
    <w:rsid w:val="00BD0F67"/>
    <w:rsid w:val="00BE1E81"/>
    <w:rsid w:val="00BE681D"/>
    <w:rsid w:val="00BE7713"/>
    <w:rsid w:val="00BE7F8D"/>
    <w:rsid w:val="00BF4F95"/>
    <w:rsid w:val="00C03F35"/>
    <w:rsid w:val="00C04FDA"/>
    <w:rsid w:val="00C0767A"/>
    <w:rsid w:val="00C079EF"/>
    <w:rsid w:val="00C14DAF"/>
    <w:rsid w:val="00C24A99"/>
    <w:rsid w:val="00C27AEF"/>
    <w:rsid w:val="00C347FA"/>
    <w:rsid w:val="00C472F9"/>
    <w:rsid w:val="00C47313"/>
    <w:rsid w:val="00C67D82"/>
    <w:rsid w:val="00C7771A"/>
    <w:rsid w:val="00C83F43"/>
    <w:rsid w:val="00C84642"/>
    <w:rsid w:val="00C8788D"/>
    <w:rsid w:val="00C87C87"/>
    <w:rsid w:val="00C87E5C"/>
    <w:rsid w:val="00C974E5"/>
    <w:rsid w:val="00CA0C4A"/>
    <w:rsid w:val="00CA63EE"/>
    <w:rsid w:val="00CB0FA6"/>
    <w:rsid w:val="00CB1100"/>
    <w:rsid w:val="00CB11B3"/>
    <w:rsid w:val="00CB2B07"/>
    <w:rsid w:val="00CC2FD0"/>
    <w:rsid w:val="00CC3008"/>
    <w:rsid w:val="00CC5DAD"/>
    <w:rsid w:val="00CD44B2"/>
    <w:rsid w:val="00CD6D13"/>
    <w:rsid w:val="00CD7FEA"/>
    <w:rsid w:val="00CE0BC2"/>
    <w:rsid w:val="00CF1093"/>
    <w:rsid w:val="00CF30B2"/>
    <w:rsid w:val="00CF52D8"/>
    <w:rsid w:val="00CF5EAF"/>
    <w:rsid w:val="00D07994"/>
    <w:rsid w:val="00D15D0A"/>
    <w:rsid w:val="00D1621D"/>
    <w:rsid w:val="00D236A3"/>
    <w:rsid w:val="00D35549"/>
    <w:rsid w:val="00D401EB"/>
    <w:rsid w:val="00D4508A"/>
    <w:rsid w:val="00D51D33"/>
    <w:rsid w:val="00D56592"/>
    <w:rsid w:val="00D653C8"/>
    <w:rsid w:val="00D77EFA"/>
    <w:rsid w:val="00D83473"/>
    <w:rsid w:val="00D83E7A"/>
    <w:rsid w:val="00D84936"/>
    <w:rsid w:val="00DA0478"/>
    <w:rsid w:val="00DA2BD1"/>
    <w:rsid w:val="00DA5941"/>
    <w:rsid w:val="00DB1447"/>
    <w:rsid w:val="00DD1290"/>
    <w:rsid w:val="00DD5DFF"/>
    <w:rsid w:val="00DE11F1"/>
    <w:rsid w:val="00DE3615"/>
    <w:rsid w:val="00DE38D7"/>
    <w:rsid w:val="00DF0B5B"/>
    <w:rsid w:val="00DF25D8"/>
    <w:rsid w:val="00DF3F37"/>
    <w:rsid w:val="00E01CAB"/>
    <w:rsid w:val="00E07024"/>
    <w:rsid w:val="00E111D0"/>
    <w:rsid w:val="00E12B6C"/>
    <w:rsid w:val="00E16970"/>
    <w:rsid w:val="00E202E4"/>
    <w:rsid w:val="00E41A2A"/>
    <w:rsid w:val="00E43B7F"/>
    <w:rsid w:val="00E45134"/>
    <w:rsid w:val="00E51A10"/>
    <w:rsid w:val="00E70DC0"/>
    <w:rsid w:val="00E725C9"/>
    <w:rsid w:val="00E841C0"/>
    <w:rsid w:val="00E86436"/>
    <w:rsid w:val="00E91C61"/>
    <w:rsid w:val="00E93BA4"/>
    <w:rsid w:val="00E9482B"/>
    <w:rsid w:val="00EA587D"/>
    <w:rsid w:val="00EB0802"/>
    <w:rsid w:val="00EB44DB"/>
    <w:rsid w:val="00EB63B3"/>
    <w:rsid w:val="00ED2594"/>
    <w:rsid w:val="00EE0352"/>
    <w:rsid w:val="00EE09E1"/>
    <w:rsid w:val="00EE7539"/>
    <w:rsid w:val="00EF05DA"/>
    <w:rsid w:val="00EF3A60"/>
    <w:rsid w:val="00F00C9A"/>
    <w:rsid w:val="00F05AC7"/>
    <w:rsid w:val="00F06A2D"/>
    <w:rsid w:val="00F06DCA"/>
    <w:rsid w:val="00F0713C"/>
    <w:rsid w:val="00F37D27"/>
    <w:rsid w:val="00F4049E"/>
    <w:rsid w:val="00F41087"/>
    <w:rsid w:val="00F43312"/>
    <w:rsid w:val="00F52E37"/>
    <w:rsid w:val="00F53D96"/>
    <w:rsid w:val="00F61743"/>
    <w:rsid w:val="00F61EF4"/>
    <w:rsid w:val="00F66C49"/>
    <w:rsid w:val="00F73259"/>
    <w:rsid w:val="00F74820"/>
    <w:rsid w:val="00F81EB8"/>
    <w:rsid w:val="00F82E80"/>
    <w:rsid w:val="00F86D46"/>
    <w:rsid w:val="00F90E39"/>
    <w:rsid w:val="00F913F1"/>
    <w:rsid w:val="00F944F1"/>
    <w:rsid w:val="00FA6764"/>
    <w:rsid w:val="00FB14D9"/>
    <w:rsid w:val="00FB1DF0"/>
    <w:rsid w:val="00FB663F"/>
    <w:rsid w:val="00FB7F6E"/>
    <w:rsid w:val="00FD1264"/>
    <w:rsid w:val="00FD683A"/>
    <w:rsid w:val="00FE0227"/>
    <w:rsid w:val="00FE297D"/>
    <w:rsid w:val="00FE3C87"/>
    <w:rsid w:val="00FE61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E539"/>
  <w15:docId w15:val="{85AD6740-FB49-4D9D-A7AA-690058B0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352"/>
    <w:pPr>
      <w:widowControl w:val="0"/>
      <w:suppressAutoHyphens/>
    </w:pPr>
    <w:rPr>
      <w:rFonts w:ascii="Times New Roman" w:eastAsia="Lucida Sans Unicode" w:hAnsi="Times New Roman"/>
      <w:kern w:val="1"/>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8E6F32"/>
    <w:pPr>
      <w:widowControl/>
      <w:suppressAutoHyphens w:val="0"/>
      <w:spacing w:before="280" w:after="119"/>
    </w:pPr>
    <w:rPr>
      <w:rFonts w:eastAsia="Times New Roman" w:cs="Calibri"/>
      <w:kern w:val="0"/>
    </w:rPr>
  </w:style>
  <w:style w:type="paragraph" w:styleId="Pagrindinistekstas">
    <w:name w:val="Body Text"/>
    <w:basedOn w:val="prastasis"/>
    <w:link w:val="PagrindinistekstasDiagrama"/>
    <w:rsid w:val="00B84C0E"/>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B84C0E"/>
    <w:rPr>
      <w:rFonts w:ascii="Times New Roman" w:eastAsia="Andale Sans UI" w:hAnsi="Times New Roman" w:cs="Tahoma"/>
      <w:sz w:val="24"/>
      <w:szCs w:val="24"/>
      <w:lang w:eastAsia="en-US" w:bidi="en-US"/>
    </w:rPr>
  </w:style>
  <w:style w:type="paragraph" w:styleId="Antrats">
    <w:name w:val="header"/>
    <w:basedOn w:val="prastasis"/>
    <w:link w:val="AntratsDiagrama"/>
    <w:uiPriority w:val="99"/>
    <w:unhideWhenUsed/>
    <w:rsid w:val="00B434DF"/>
    <w:pPr>
      <w:tabs>
        <w:tab w:val="center" w:pos="4819"/>
        <w:tab w:val="right" w:pos="9638"/>
      </w:tabs>
    </w:pPr>
  </w:style>
  <w:style w:type="character" w:customStyle="1" w:styleId="AntratsDiagrama">
    <w:name w:val="Antraštės Diagrama"/>
    <w:basedOn w:val="Numatytasispastraiposriftas"/>
    <w:link w:val="Antrats"/>
    <w:uiPriority w:val="99"/>
    <w:rsid w:val="00B434DF"/>
    <w:rPr>
      <w:rFonts w:ascii="Times New Roman" w:eastAsia="Lucida Sans Unicode" w:hAnsi="Times New Roman"/>
      <w:kern w:val="1"/>
      <w:sz w:val="24"/>
      <w:szCs w:val="24"/>
      <w:lang w:eastAsia="ar-SA"/>
    </w:rPr>
  </w:style>
  <w:style w:type="paragraph" w:styleId="Porat">
    <w:name w:val="footer"/>
    <w:basedOn w:val="prastasis"/>
    <w:link w:val="PoratDiagrama"/>
    <w:uiPriority w:val="99"/>
    <w:semiHidden/>
    <w:unhideWhenUsed/>
    <w:rsid w:val="00B434DF"/>
    <w:pPr>
      <w:tabs>
        <w:tab w:val="center" w:pos="4819"/>
        <w:tab w:val="right" w:pos="9638"/>
      </w:tabs>
    </w:pPr>
  </w:style>
  <w:style w:type="character" w:customStyle="1" w:styleId="PoratDiagrama">
    <w:name w:val="Poraštė Diagrama"/>
    <w:basedOn w:val="Numatytasispastraiposriftas"/>
    <w:link w:val="Porat"/>
    <w:uiPriority w:val="99"/>
    <w:semiHidden/>
    <w:rsid w:val="00B434DF"/>
    <w:rPr>
      <w:rFonts w:ascii="Times New Roman" w:eastAsia="Lucida Sans Unicode" w:hAnsi="Times New Roman"/>
      <w:kern w:val="1"/>
      <w:sz w:val="24"/>
      <w:szCs w:val="24"/>
      <w:lang w:eastAsia="ar-SA"/>
    </w:rPr>
  </w:style>
  <w:style w:type="character" w:styleId="Hipersaitas">
    <w:name w:val="Hyperlink"/>
    <w:basedOn w:val="Numatytasispastraiposriftas"/>
    <w:unhideWhenUsed/>
    <w:qFormat/>
    <w:rsid w:val="009349CE"/>
    <w:rPr>
      <w:color w:val="0000FF"/>
      <w:u w:val="single"/>
    </w:rPr>
  </w:style>
  <w:style w:type="paragraph" w:styleId="HTMLiankstoformatuotas">
    <w:name w:val="HTML Preformatted"/>
    <w:basedOn w:val="prastasis"/>
    <w:link w:val="HTMLiankstoformatuotasDiagrama"/>
    <w:uiPriority w:val="99"/>
    <w:unhideWhenUsed/>
    <w:rsid w:val="00934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eastAsia="Times New Roman" w:hAnsi="Courier New" w:cs="Courier New"/>
      <w:kern w:val="0"/>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349CE"/>
    <w:rPr>
      <w:rFonts w:ascii="Courier New" w:eastAsia="Times New Roman" w:hAnsi="Courier New" w:cs="Courier New"/>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B71D47"/>
    <w:pPr>
      <w:ind w:left="720"/>
      <w:contextualSpacing/>
    </w:pPr>
  </w:style>
  <w:style w:type="paragraph" w:styleId="Debesliotekstas">
    <w:name w:val="Balloon Text"/>
    <w:basedOn w:val="prastasis"/>
    <w:link w:val="DebesliotekstasDiagrama"/>
    <w:uiPriority w:val="99"/>
    <w:semiHidden/>
    <w:unhideWhenUsed/>
    <w:rsid w:val="009269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69E0"/>
    <w:rPr>
      <w:rFonts w:ascii="Tahoma" w:eastAsia="Lucida Sans Unicode" w:hAnsi="Tahoma" w:cs="Tahoma"/>
      <w:kern w:val="1"/>
      <w:sz w:val="16"/>
      <w:szCs w:val="16"/>
      <w:lang w:eastAsia="ar-SA"/>
    </w:rPr>
  </w:style>
  <w:style w:type="character" w:styleId="Emfaz">
    <w:name w:val="Emphasis"/>
    <w:basedOn w:val="Numatytasispastraiposriftas"/>
    <w:uiPriority w:val="20"/>
    <w:qFormat/>
    <w:rsid w:val="00EB44DB"/>
    <w:rPr>
      <w:i/>
      <w:iCs/>
    </w:rPr>
  </w:style>
  <w:style w:type="paragraph" w:customStyle="1" w:styleId="Default">
    <w:name w:val="Default"/>
    <w:rsid w:val="006E1B6A"/>
    <w:pPr>
      <w:autoSpaceDE w:val="0"/>
      <w:autoSpaceDN w:val="0"/>
      <w:adjustRightInd w:val="0"/>
    </w:pPr>
    <w:rPr>
      <w:rFonts w:ascii="Times New Roman" w:eastAsiaTheme="minorHAnsi" w:hAnsi="Times New Roman"/>
      <w:color w:val="000000"/>
      <w:sz w:val="24"/>
      <w:szCs w:val="24"/>
      <w:lang w:eastAsia="en-US"/>
    </w:rPr>
  </w:style>
  <w:style w:type="character" w:customStyle="1" w:styleId="bold1">
    <w:name w:val="bold1"/>
    <w:basedOn w:val="Numatytasispastraiposriftas"/>
    <w:rsid w:val="000F6CA2"/>
    <w:rPr>
      <w:b/>
      <w:bCs/>
    </w:r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566BAB"/>
    <w:rPr>
      <w:rFonts w:ascii="Times New Roman" w:eastAsia="Lucida Sans Unicode" w:hAnsi="Times New Roman"/>
      <w:kern w:val="1"/>
      <w:sz w:val="24"/>
      <w:szCs w:val="24"/>
      <w:lang w:eastAsia="ar-SA"/>
    </w:rPr>
  </w:style>
  <w:style w:type="paragraph" w:customStyle="1" w:styleId="doc-ti">
    <w:name w:val="doc-ti"/>
    <w:basedOn w:val="prastasis"/>
    <w:qFormat/>
    <w:rsid w:val="00836BFF"/>
    <w:pPr>
      <w:widowControl/>
      <w:suppressAutoHyphens w:val="0"/>
      <w:spacing w:after="150"/>
    </w:pPr>
    <w:rPr>
      <w:rFonts w:eastAsia="Times New Roman"/>
      <w:kern w:val="0"/>
      <w:lang w:eastAsia="lt-LT"/>
    </w:rPr>
  </w:style>
  <w:style w:type="paragraph" w:styleId="Betarp">
    <w:name w:val="No Spacing"/>
    <w:uiPriority w:val="1"/>
    <w:qFormat/>
    <w:rsid w:val="00310683"/>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uiPriority w:val="99"/>
    <w:semiHidden/>
    <w:unhideWhenUsed/>
    <w:rsid w:val="00310683"/>
    <w:pPr>
      <w:widowControl/>
      <w:suppressAutoHyphens w:val="0"/>
    </w:pPr>
    <w:rPr>
      <w:rFonts w:asciiTheme="minorHAnsi" w:eastAsiaTheme="minorHAnsi" w:hAnsiTheme="minorHAnsi" w:cstheme="minorBidi"/>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310683"/>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310683"/>
    <w:rPr>
      <w:vertAlign w:val="superscript"/>
    </w:rPr>
  </w:style>
  <w:style w:type="character" w:styleId="Komentaronuoroda">
    <w:name w:val="annotation reference"/>
    <w:basedOn w:val="Numatytasispastraiposriftas"/>
    <w:uiPriority w:val="99"/>
    <w:semiHidden/>
    <w:unhideWhenUsed/>
    <w:rsid w:val="00B40FD4"/>
    <w:rPr>
      <w:sz w:val="16"/>
      <w:szCs w:val="16"/>
    </w:rPr>
  </w:style>
  <w:style w:type="paragraph" w:styleId="Komentarotekstas">
    <w:name w:val="annotation text"/>
    <w:basedOn w:val="prastasis"/>
    <w:link w:val="KomentarotekstasDiagrama"/>
    <w:uiPriority w:val="99"/>
    <w:semiHidden/>
    <w:unhideWhenUsed/>
    <w:rsid w:val="00B40FD4"/>
    <w:rPr>
      <w:sz w:val="20"/>
      <w:szCs w:val="20"/>
    </w:rPr>
  </w:style>
  <w:style w:type="character" w:customStyle="1" w:styleId="KomentarotekstasDiagrama">
    <w:name w:val="Komentaro tekstas Diagrama"/>
    <w:basedOn w:val="Numatytasispastraiposriftas"/>
    <w:link w:val="Komentarotekstas"/>
    <w:uiPriority w:val="99"/>
    <w:semiHidden/>
    <w:rsid w:val="00B40FD4"/>
    <w:rPr>
      <w:rFonts w:ascii="Times New Roman" w:eastAsia="Lucida Sans Unicode" w:hAnsi="Times New Roman"/>
      <w:kern w:val="1"/>
      <w:lang w:eastAsia="ar-SA"/>
    </w:rPr>
  </w:style>
  <w:style w:type="paragraph" w:styleId="Komentarotema">
    <w:name w:val="annotation subject"/>
    <w:basedOn w:val="Komentarotekstas"/>
    <w:next w:val="Komentarotekstas"/>
    <w:link w:val="KomentarotemaDiagrama"/>
    <w:uiPriority w:val="99"/>
    <w:semiHidden/>
    <w:unhideWhenUsed/>
    <w:rsid w:val="00B40FD4"/>
    <w:rPr>
      <w:b/>
      <w:bCs/>
    </w:rPr>
  </w:style>
  <w:style w:type="character" w:customStyle="1" w:styleId="KomentarotemaDiagrama">
    <w:name w:val="Komentaro tema Diagrama"/>
    <w:basedOn w:val="KomentarotekstasDiagrama"/>
    <w:link w:val="Komentarotema"/>
    <w:uiPriority w:val="99"/>
    <w:semiHidden/>
    <w:rsid w:val="00B40FD4"/>
    <w:rPr>
      <w:rFonts w:ascii="Times New Roman" w:eastAsia="Lucida Sans Unicode" w:hAnsi="Times New Roman"/>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59803">
      <w:bodyDiv w:val="1"/>
      <w:marLeft w:val="0"/>
      <w:marRight w:val="0"/>
      <w:marTop w:val="0"/>
      <w:marBottom w:val="0"/>
      <w:divBdr>
        <w:top w:val="none" w:sz="0" w:space="0" w:color="auto"/>
        <w:left w:val="none" w:sz="0" w:space="0" w:color="auto"/>
        <w:bottom w:val="none" w:sz="0" w:space="0" w:color="auto"/>
        <w:right w:val="none" w:sz="0" w:space="0" w:color="auto"/>
      </w:divBdr>
    </w:div>
    <w:div w:id="264969449">
      <w:bodyDiv w:val="1"/>
      <w:marLeft w:val="0"/>
      <w:marRight w:val="0"/>
      <w:marTop w:val="0"/>
      <w:marBottom w:val="0"/>
      <w:divBdr>
        <w:top w:val="none" w:sz="0" w:space="0" w:color="auto"/>
        <w:left w:val="none" w:sz="0" w:space="0" w:color="auto"/>
        <w:bottom w:val="none" w:sz="0" w:space="0" w:color="auto"/>
        <w:right w:val="none" w:sz="0" w:space="0" w:color="auto"/>
      </w:divBdr>
    </w:div>
    <w:div w:id="640624083">
      <w:bodyDiv w:val="1"/>
      <w:marLeft w:val="0"/>
      <w:marRight w:val="0"/>
      <w:marTop w:val="0"/>
      <w:marBottom w:val="0"/>
      <w:divBdr>
        <w:top w:val="none" w:sz="0" w:space="0" w:color="auto"/>
        <w:left w:val="none" w:sz="0" w:space="0" w:color="auto"/>
        <w:bottom w:val="none" w:sz="0" w:space="0" w:color="auto"/>
        <w:right w:val="none" w:sz="0" w:space="0" w:color="auto"/>
      </w:divBdr>
    </w:div>
    <w:div w:id="728725247">
      <w:bodyDiv w:val="1"/>
      <w:marLeft w:val="225"/>
      <w:marRight w:val="225"/>
      <w:marTop w:val="0"/>
      <w:marBottom w:val="0"/>
      <w:divBdr>
        <w:top w:val="none" w:sz="0" w:space="0" w:color="auto"/>
        <w:left w:val="none" w:sz="0" w:space="0" w:color="auto"/>
        <w:bottom w:val="none" w:sz="0" w:space="0" w:color="auto"/>
        <w:right w:val="none" w:sz="0" w:space="0" w:color="auto"/>
      </w:divBdr>
      <w:divsChild>
        <w:div w:id="164132273">
          <w:marLeft w:val="0"/>
          <w:marRight w:val="0"/>
          <w:marTop w:val="0"/>
          <w:marBottom w:val="0"/>
          <w:divBdr>
            <w:top w:val="none" w:sz="0" w:space="0" w:color="auto"/>
            <w:left w:val="none" w:sz="0" w:space="0" w:color="auto"/>
            <w:bottom w:val="none" w:sz="0" w:space="0" w:color="auto"/>
            <w:right w:val="none" w:sz="0" w:space="0" w:color="auto"/>
          </w:divBdr>
        </w:div>
      </w:divsChild>
    </w:div>
    <w:div w:id="1931350130">
      <w:bodyDiv w:val="1"/>
      <w:marLeft w:val="0"/>
      <w:marRight w:val="0"/>
      <w:marTop w:val="0"/>
      <w:marBottom w:val="0"/>
      <w:divBdr>
        <w:top w:val="none" w:sz="0" w:space="0" w:color="auto"/>
        <w:left w:val="none" w:sz="0" w:space="0" w:color="auto"/>
        <w:bottom w:val="none" w:sz="0" w:space="0" w:color="auto"/>
        <w:right w:val="none" w:sz="0" w:space="0" w:color="auto"/>
      </w:divBdr>
    </w:div>
    <w:div w:id="20903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6102-8741-4A2B-AADA-53680D46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8894</Words>
  <Characters>5070</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2021-08-21T14:21:00Z</dcterms:created>
  <dc:creator>V-Rumbutiene</dc:creator>
  <cp:lastModifiedBy>Eglė Čeponytė</cp:lastModifiedBy>
  <cp:lastPrinted>2017-08-09T07:11:00Z</cp:lastPrinted>
  <dcterms:modified xsi:type="dcterms:W3CDTF">2021-08-25T10:02:00Z</dcterms:modified>
  <cp:revision>24</cp:revision>
</cp:coreProperties>
</file>