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FF78F" w14:textId="0D164DB6" w:rsidR="00822666" w:rsidRPr="00BA591B" w:rsidRDefault="00D32D63" w:rsidP="00DA5CE5">
      <w:pPr>
        <w:jc w:val="center"/>
        <w:rPr>
          <w:b/>
          <w:szCs w:val="24"/>
        </w:rPr>
      </w:pPr>
      <w:r w:rsidRPr="00BA591B">
        <w:rPr>
          <w:b/>
          <w:caps/>
          <w:szCs w:val="24"/>
        </w:rPr>
        <w:t>2021 m. birželio 24 d. Europos Parlamento ir Tarybos reglamentą (ES) 2021/1057, kuriuo nustatomas „Europos socialinis fondas +“ (ESF+ ) ir panaikinamas Reglamentas (ES) Nr. 1296/2013</w:t>
      </w:r>
      <w:r w:rsidR="006A40C4" w:rsidRPr="00BA591B">
        <w:rPr>
          <w:b/>
          <w:caps/>
          <w:szCs w:val="24"/>
        </w:rPr>
        <w:t xml:space="preserve">, </w:t>
      </w:r>
      <w:r w:rsidR="00822666" w:rsidRPr="00BA591B">
        <w:rPr>
          <w:b/>
          <w:caps/>
          <w:szCs w:val="24"/>
        </w:rPr>
        <w:t>ATITIKTIES LENTELĖ</w:t>
      </w:r>
    </w:p>
    <w:p w14:paraId="52592554" w14:textId="77777777" w:rsidR="00135989" w:rsidRPr="00BA591B" w:rsidRDefault="00135989">
      <w:pPr>
        <w:jc w:val="left"/>
        <w:rPr>
          <w:szCs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7110"/>
        <w:gridCol w:w="1800"/>
      </w:tblGrid>
      <w:tr w:rsidR="00135989" w:rsidRPr="00BA591B" w14:paraId="07425DE3" w14:textId="77777777" w:rsidTr="00822666">
        <w:tc>
          <w:tcPr>
            <w:tcW w:w="6210" w:type="dxa"/>
          </w:tcPr>
          <w:p w14:paraId="40F9F570" w14:textId="59C177A6" w:rsidR="00135989" w:rsidRPr="00BA591B" w:rsidRDefault="00ED6413" w:rsidP="00331740">
            <w:pPr>
              <w:jc w:val="left"/>
              <w:rPr>
                <w:szCs w:val="24"/>
              </w:rPr>
            </w:pPr>
            <w:r w:rsidRPr="00BA591B">
              <w:rPr>
                <w:szCs w:val="24"/>
              </w:rPr>
              <w:t>2021 m. birželio 24 d. Europos Parlamento ir Tarybos reglamentą (ES) 2021/1057, kuriuo nustatomas „Europos socialinis fondas +“ (ESF+ ) ir panaikinamas Reglamentas (ES) Nr. 1296/2013</w:t>
            </w:r>
          </w:p>
        </w:tc>
        <w:tc>
          <w:tcPr>
            <w:tcW w:w="7110" w:type="dxa"/>
          </w:tcPr>
          <w:p w14:paraId="31028706" w14:textId="1BF1973C" w:rsidR="006E5208" w:rsidRPr="00BA591B" w:rsidRDefault="006E5208" w:rsidP="006A40C4">
            <w:pPr>
              <w:jc w:val="left"/>
              <w:rPr>
                <w:b/>
                <w:szCs w:val="24"/>
              </w:rPr>
            </w:pPr>
            <w:r w:rsidRPr="00BA591B">
              <w:rPr>
                <w:b/>
                <w:szCs w:val="24"/>
              </w:rPr>
              <w:t>Lietuvos Respublikos Vyriausybės nutarimo „</w:t>
            </w:r>
            <w:r w:rsidR="00D65C76" w:rsidRPr="00BA591B">
              <w:rPr>
                <w:b/>
                <w:szCs w:val="24"/>
              </w:rPr>
              <w:t>Dėl institucijų, atsakingų už „Europos socialinio fondo +“ užimtumo ir socialinių inovacijų krypties įgyvendinimą Lietuvos Respublikoje, paskyrimo</w:t>
            </w:r>
            <w:r w:rsidR="006A40C4" w:rsidRPr="00BA591B">
              <w:rPr>
                <w:b/>
              </w:rPr>
              <w:t xml:space="preserve">“ </w:t>
            </w:r>
            <w:r w:rsidR="0031321F" w:rsidRPr="00BA591B">
              <w:rPr>
                <w:b/>
              </w:rPr>
              <w:t>projektas (toliau – Projektas)</w:t>
            </w:r>
          </w:p>
        </w:tc>
        <w:tc>
          <w:tcPr>
            <w:tcW w:w="1800" w:type="dxa"/>
          </w:tcPr>
          <w:p w14:paraId="4902B0B8" w14:textId="77777777" w:rsidR="00135989" w:rsidRPr="00BA591B" w:rsidRDefault="00135989" w:rsidP="00281A53">
            <w:pPr>
              <w:pStyle w:val="Antrats"/>
              <w:jc w:val="left"/>
              <w:rPr>
                <w:szCs w:val="24"/>
              </w:rPr>
            </w:pPr>
            <w:r w:rsidRPr="00BA591B">
              <w:rPr>
                <w:szCs w:val="24"/>
              </w:rPr>
              <w:t>Reglamento perkėlimo (įgyvendinimo) lygis</w:t>
            </w:r>
          </w:p>
        </w:tc>
      </w:tr>
      <w:tr w:rsidR="00A801C7" w:rsidRPr="00BA591B" w14:paraId="76AC0360" w14:textId="77777777" w:rsidTr="00822666">
        <w:tc>
          <w:tcPr>
            <w:tcW w:w="6210" w:type="dxa"/>
          </w:tcPr>
          <w:p w14:paraId="0CE245A4" w14:textId="76343C5F" w:rsidR="00A801C7" w:rsidRPr="00BA591B" w:rsidRDefault="00A801C7" w:rsidP="0069653B">
            <w:pPr>
              <w:pStyle w:val="Default"/>
              <w:rPr>
                <w:rFonts w:ascii="Times New Roman" w:hAnsi="Times New Roman" w:cs="Times New Roman"/>
                <w:b/>
              </w:rPr>
            </w:pPr>
            <w:r w:rsidRPr="00BA591B">
              <w:rPr>
                <w:rFonts w:ascii="Times New Roman" w:hAnsi="Times New Roman" w:cs="Times New Roman"/>
                <w:b/>
              </w:rPr>
              <w:t>Preambulės 50 punktas</w:t>
            </w:r>
          </w:p>
          <w:p w14:paraId="7C76A5EA" w14:textId="091ABD5E" w:rsidR="00A801C7" w:rsidRPr="00BA591B" w:rsidRDefault="00507709" w:rsidP="0085544C">
            <w:pPr>
              <w:pStyle w:val="Default"/>
              <w:jc w:val="both"/>
              <w:rPr>
                <w:rFonts w:ascii="Times New Roman" w:hAnsi="Times New Roman" w:cs="Times New Roman"/>
              </w:rPr>
            </w:pPr>
            <w:r w:rsidRPr="00BA591B">
              <w:rPr>
                <w:rFonts w:ascii="Times New Roman" w:hAnsi="Times New Roman" w:cs="Times New Roman"/>
              </w:rPr>
              <w:t xml:space="preserve">siekiant užtikrinti, kad būtų toliau atsižvelgiama į kiekvienos ESF+ krypties ypatumus, ESF+ komitetas turėtų sudaryti darbo grupes kiekvienai iš ESF+ krypčių. Tų darbo grupių sudėtį ir užduotis turėtų nustatyti ESF+ komitetas. Darbo grupės turėtų turėti galimybę į savo posėdžius pakviesti pilietinės visuomenės atstovus ir kitus suinteresuotuosius subjektus. Darbo grupių užduotys gali apimti valstybių narių ir Komisijos veiksmų koordinavimo ir bendradarbiavimo ESF+ įgyvendinimo klausimais užtikrinimą, įskaitant konsultavimąsi dėl </w:t>
            </w:r>
            <w:proofErr w:type="spellStart"/>
            <w:r w:rsidRPr="00BA591B">
              <w:rPr>
                <w:rFonts w:ascii="Times New Roman" w:hAnsi="Times New Roman" w:cs="Times New Roman"/>
              </w:rPr>
              <w:t>EaSI</w:t>
            </w:r>
            <w:proofErr w:type="spellEnd"/>
            <w:r w:rsidRPr="00BA591B">
              <w:rPr>
                <w:rFonts w:ascii="Times New Roman" w:hAnsi="Times New Roman" w:cs="Times New Roman"/>
              </w:rPr>
              <w:t xml:space="preserve"> krypties darbo programos, kiekvienos ESF+ krypties įgyvendinimo stebėseną, keitimąsi patirtimi ir gerosios praktikos pavyzdžiais pagal vieną ESF+ kryptį ar tarp jų ir potencialių </w:t>
            </w:r>
            <w:proofErr w:type="spellStart"/>
            <w:r w:rsidRPr="00BA591B">
              <w:rPr>
                <w:rFonts w:ascii="Times New Roman" w:hAnsi="Times New Roman" w:cs="Times New Roman"/>
              </w:rPr>
              <w:t>sinergijų</w:t>
            </w:r>
            <w:proofErr w:type="spellEnd"/>
            <w:r w:rsidRPr="00BA591B">
              <w:rPr>
                <w:rFonts w:ascii="Times New Roman" w:hAnsi="Times New Roman" w:cs="Times New Roman"/>
              </w:rPr>
              <w:t xml:space="preserve"> su kitomis Sąjungos programomis skatinimą;</w:t>
            </w:r>
          </w:p>
        </w:tc>
        <w:tc>
          <w:tcPr>
            <w:tcW w:w="7110" w:type="dxa"/>
            <w:vMerge w:val="restart"/>
          </w:tcPr>
          <w:p w14:paraId="2F23C8E5" w14:textId="172CDCFB" w:rsidR="00A801C7" w:rsidRPr="00BA591B" w:rsidRDefault="00A801C7" w:rsidP="00421D26">
            <w:pPr>
              <w:rPr>
                <w:szCs w:val="24"/>
              </w:rPr>
            </w:pPr>
            <w:r w:rsidRPr="00BA591B">
              <w:rPr>
                <w:b/>
                <w:szCs w:val="24"/>
              </w:rPr>
              <w:t>Projektas</w:t>
            </w:r>
          </w:p>
          <w:p w14:paraId="1DEA2917" w14:textId="77777777" w:rsidR="009E2504" w:rsidRPr="00BA591B" w:rsidRDefault="009E2504" w:rsidP="009E2504">
            <w:pPr>
              <w:ind w:firstLine="720"/>
              <w:rPr>
                <w:szCs w:val="24"/>
              </w:rPr>
            </w:pPr>
            <w:r w:rsidRPr="00BA591B">
              <w:rPr>
                <w:szCs w:val="24"/>
              </w:rPr>
              <w:t xml:space="preserve">Atsižvelgdama į 2021 m. birželio 24 d. Europos Parlamento ir Tarybos reglamento (ES) 2021/1057, kuriuo nustatomas „Europos socialinis fondas+“ (ESF+) ir panaikinamas Reglamentas (ES) Nr. 1296/2013 nuostatas ir siekdama įgyvendinti „Europos socialinio fondo+“ (toliau – ESF+) užimtumo ir socialinių inovacijų kryptį (toliau – </w:t>
            </w:r>
            <w:proofErr w:type="spellStart"/>
            <w:r w:rsidRPr="00BA591B">
              <w:rPr>
                <w:szCs w:val="24"/>
              </w:rPr>
              <w:t>EaSI</w:t>
            </w:r>
            <w:proofErr w:type="spellEnd"/>
            <w:r w:rsidRPr="00BA591B">
              <w:rPr>
                <w:szCs w:val="24"/>
              </w:rPr>
              <w:t xml:space="preserve"> kryptis) Lietuvos Respublikoje, Lietuvos Respublikos Vyriausybė n u t a r i a:</w:t>
            </w:r>
          </w:p>
          <w:p w14:paraId="3B370A3B" w14:textId="77777777" w:rsidR="009E2504" w:rsidRPr="00BA591B" w:rsidRDefault="009E2504" w:rsidP="009E2504">
            <w:pPr>
              <w:ind w:firstLine="720"/>
              <w:rPr>
                <w:szCs w:val="24"/>
              </w:rPr>
            </w:pPr>
            <w:r w:rsidRPr="00BA591B">
              <w:rPr>
                <w:szCs w:val="24"/>
              </w:rPr>
              <w:t xml:space="preserve">1. Paskirti institucijas, atsakingas už ESF+ </w:t>
            </w:r>
            <w:proofErr w:type="spellStart"/>
            <w:r w:rsidRPr="00BA591B">
              <w:rPr>
                <w:szCs w:val="24"/>
              </w:rPr>
              <w:t>EaSI</w:t>
            </w:r>
            <w:proofErr w:type="spellEnd"/>
            <w:r w:rsidRPr="00BA591B">
              <w:rPr>
                <w:szCs w:val="24"/>
              </w:rPr>
              <w:t xml:space="preserve"> krypties įgyvendinimą:</w:t>
            </w:r>
          </w:p>
          <w:p w14:paraId="49906016" w14:textId="77777777" w:rsidR="009E2504" w:rsidRPr="00BA591B" w:rsidRDefault="009E2504" w:rsidP="009E2504">
            <w:pPr>
              <w:ind w:firstLine="720"/>
              <w:rPr>
                <w:szCs w:val="24"/>
              </w:rPr>
            </w:pPr>
            <w:r w:rsidRPr="00BA591B">
              <w:rPr>
                <w:szCs w:val="24"/>
              </w:rPr>
              <w:t xml:space="preserve">1.1. Lietuvos Respublikos socialinės apsaugos ir darbo ministeriją – ESF+ </w:t>
            </w:r>
            <w:proofErr w:type="spellStart"/>
            <w:r w:rsidRPr="00BA591B">
              <w:rPr>
                <w:szCs w:val="24"/>
              </w:rPr>
              <w:t>EaSI</w:t>
            </w:r>
            <w:proofErr w:type="spellEnd"/>
            <w:r w:rsidRPr="00BA591B">
              <w:rPr>
                <w:szCs w:val="24"/>
              </w:rPr>
              <w:t xml:space="preserve"> krypties įgyvendinimą koordinuojančia ir Lietuvos Respublikos interesams ESF+ komiteto Užimtumo ir socialinių inovacijų darbo grupėje atstovaujančia institucija (toliau – koordinuojanti ir atstovaujanti institucija);</w:t>
            </w:r>
          </w:p>
          <w:p w14:paraId="42C2FFFD" w14:textId="77777777" w:rsidR="009E2504" w:rsidRPr="00BA591B" w:rsidRDefault="009E2504" w:rsidP="009E2504">
            <w:pPr>
              <w:ind w:firstLine="720"/>
              <w:rPr>
                <w:szCs w:val="24"/>
              </w:rPr>
            </w:pPr>
            <w:r w:rsidRPr="00BA591B">
              <w:rPr>
                <w:szCs w:val="24"/>
              </w:rPr>
              <w:t xml:space="preserve">1.2. viešąją įstaigą Europos socialinio fondo agentūrą – ESF+ </w:t>
            </w:r>
            <w:proofErr w:type="spellStart"/>
            <w:r w:rsidRPr="00BA591B">
              <w:rPr>
                <w:szCs w:val="24"/>
              </w:rPr>
              <w:t>EaSI</w:t>
            </w:r>
            <w:proofErr w:type="spellEnd"/>
            <w:r w:rsidRPr="00BA591B">
              <w:rPr>
                <w:szCs w:val="24"/>
              </w:rPr>
              <w:t xml:space="preserve"> krypties nacionaliniu kontaktiniu punktu (toliau – nacionalinis kontaktinis punktas).</w:t>
            </w:r>
          </w:p>
          <w:p w14:paraId="7122F298" w14:textId="4DE35823" w:rsidR="00A801C7" w:rsidRPr="00BA591B" w:rsidRDefault="009E2504" w:rsidP="009E2504">
            <w:pPr>
              <w:pStyle w:val="Default"/>
              <w:ind w:firstLine="743"/>
              <w:jc w:val="both"/>
              <w:rPr>
                <w:rFonts w:ascii="Times New Roman" w:hAnsi="Times New Roman" w:cs="Times New Roman"/>
              </w:rPr>
            </w:pPr>
            <w:r w:rsidRPr="00BA591B">
              <w:rPr>
                <w:rFonts w:ascii="Times New Roman" w:hAnsi="Times New Roman" w:cs="Times New Roman"/>
              </w:rPr>
              <w:t>2. Pavesti koordinuojančiai ir atstovaujančiai institucijai ne vėliau kaip per 60 dienų nuo Reglamento (ES) 2021/1057 įsigaliojimo dienos patvirtinti šio nutarimo 1.2 papunktyje nurodyto nacionalinio kontaktinio punkto funkcijų sąrašą ir paskirti atstovą (-</w:t>
            </w:r>
            <w:proofErr w:type="spellStart"/>
            <w:r w:rsidRPr="00BA591B">
              <w:rPr>
                <w:rFonts w:ascii="Times New Roman" w:hAnsi="Times New Roman" w:cs="Times New Roman"/>
              </w:rPr>
              <w:t>us</w:t>
            </w:r>
            <w:proofErr w:type="spellEnd"/>
            <w:r w:rsidRPr="00BA591B">
              <w:rPr>
                <w:rFonts w:ascii="Times New Roman" w:hAnsi="Times New Roman" w:cs="Times New Roman"/>
              </w:rPr>
              <w:t>) į ESF+ komiteto Užimtumo ir socialinių inovacijų darbo grupę.</w:t>
            </w:r>
          </w:p>
        </w:tc>
        <w:tc>
          <w:tcPr>
            <w:tcW w:w="1800" w:type="dxa"/>
            <w:vMerge w:val="restart"/>
          </w:tcPr>
          <w:p w14:paraId="64C1B790" w14:textId="77777777" w:rsidR="00A801C7" w:rsidRPr="00BA591B" w:rsidRDefault="00A801C7" w:rsidP="00281A53">
            <w:pPr>
              <w:rPr>
                <w:szCs w:val="24"/>
              </w:rPr>
            </w:pPr>
            <w:r w:rsidRPr="00BA591B">
              <w:rPr>
                <w:szCs w:val="24"/>
              </w:rPr>
              <w:t>Visiškas</w:t>
            </w:r>
          </w:p>
        </w:tc>
      </w:tr>
      <w:tr w:rsidR="00A801C7" w:rsidRPr="00BA591B" w14:paraId="2A46EF87" w14:textId="77777777" w:rsidTr="00822666">
        <w:tc>
          <w:tcPr>
            <w:tcW w:w="6210" w:type="dxa"/>
          </w:tcPr>
          <w:p w14:paraId="34AF135A" w14:textId="4D7A6447" w:rsidR="00A801C7" w:rsidRPr="00BA591B" w:rsidRDefault="00A801C7" w:rsidP="00C77C69">
            <w:pPr>
              <w:pStyle w:val="Default"/>
              <w:jc w:val="both"/>
              <w:rPr>
                <w:rFonts w:ascii="Times New Roman" w:hAnsi="Times New Roman" w:cs="Times New Roman"/>
                <w:b/>
              </w:rPr>
            </w:pPr>
            <w:r w:rsidRPr="00BA591B">
              <w:rPr>
                <w:rFonts w:ascii="Times New Roman" w:hAnsi="Times New Roman" w:cs="Times New Roman"/>
                <w:b/>
              </w:rPr>
              <w:t>25 straipsnis</w:t>
            </w:r>
          </w:p>
          <w:p w14:paraId="4DFE4C6A" w14:textId="77777777" w:rsidR="00A801C7" w:rsidRPr="00BA591B" w:rsidRDefault="00A801C7" w:rsidP="00C77C69">
            <w:pPr>
              <w:pStyle w:val="Default"/>
              <w:jc w:val="both"/>
              <w:rPr>
                <w:rFonts w:ascii="Times New Roman" w:hAnsi="Times New Roman" w:cs="Times New Roman"/>
              </w:rPr>
            </w:pPr>
            <w:proofErr w:type="spellStart"/>
            <w:r w:rsidRPr="00BA591B">
              <w:rPr>
                <w:rFonts w:ascii="Times New Roman" w:hAnsi="Times New Roman" w:cs="Times New Roman"/>
              </w:rPr>
              <w:t>EaSI</w:t>
            </w:r>
            <w:proofErr w:type="spellEnd"/>
            <w:r w:rsidRPr="00BA591B">
              <w:rPr>
                <w:rFonts w:ascii="Times New Roman" w:hAnsi="Times New Roman" w:cs="Times New Roman"/>
              </w:rPr>
              <w:t xml:space="preserve"> krypties veiklos tikslai yra šie:</w:t>
            </w:r>
          </w:p>
          <w:p w14:paraId="5E93B3DD" w14:textId="77777777" w:rsidR="00C77C69" w:rsidRPr="00BA591B" w:rsidRDefault="00C77C69" w:rsidP="00C77C69">
            <w:pPr>
              <w:pStyle w:val="Default"/>
              <w:jc w:val="both"/>
              <w:rPr>
                <w:rFonts w:ascii="Times New Roman" w:hAnsi="Times New Roman" w:cs="Times New Roman"/>
              </w:rPr>
            </w:pPr>
            <w:r w:rsidRPr="00BA591B">
              <w:rPr>
                <w:rFonts w:ascii="Times New Roman" w:hAnsi="Times New Roman" w:cs="Times New Roman"/>
              </w:rPr>
              <w:t>a) rengti aukštos kokybės lyginamąją analitinę informaciją siekiant užtikrinti, kad politikos sritys, kuriomis siekiama 4 straipsnio 1 dalyje nustatytų konkrečių tikslų, būtų grindžiamos patikimais įrodymais ir atitiktų poreikius, iššūkius ir vietos sąlygas;</w:t>
            </w:r>
          </w:p>
          <w:p w14:paraId="63681201" w14:textId="77777777" w:rsidR="00C77C69" w:rsidRPr="00BA591B" w:rsidRDefault="00C77C69" w:rsidP="00C77C69">
            <w:pPr>
              <w:pStyle w:val="Default"/>
              <w:jc w:val="both"/>
              <w:rPr>
                <w:rFonts w:ascii="Times New Roman" w:hAnsi="Times New Roman" w:cs="Times New Roman"/>
              </w:rPr>
            </w:pPr>
            <w:r w:rsidRPr="00BA591B">
              <w:rPr>
                <w:rFonts w:ascii="Times New Roman" w:hAnsi="Times New Roman" w:cs="Times New Roman"/>
              </w:rPr>
              <w:t>b) palengvinti veiksmingą ir įtraukų dalijimąsi informacija, abipusį mokymąsi, tarpusavio vertinimus ir dialogą, susijusius su 4 straipsnio 1 dalyje nustatytomis politikos sritimis, siekiant padėti rengti tinkamas politikos priemones;</w:t>
            </w:r>
          </w:p>
          <w:p w14:paraId="2A879FB5" w14:textId="77777777" w:rsidR="00C77C69" w:rsidRPr="00BA591B" w:rsidRDefault="00C77C69" w:rsidP="00C77C69">
            <w:pPr>
              <w:pStyle w:val="Default"/>
              <w:jc w:val="both"/>
              <w:rPr>
                <w:rFonts w:ascii="Times New Roman" w:hAnsi="Times New Roman" w:cs="Times New Roman"/>
              </w:rPr>
            </w:pPr>
            <w:r w:rsidRPr="00BA591B">
              <w:rPr>
                <w:rFonts w:ascii="Times New Roman" w:hAnsi="Times New Roman" w:cs="Times New Roman"/>
              </w:rPr>
              <w:t xml:space="preserve">c) remti socialinį eksperimentą 4 straipsnio 1 dalyje nustatytose politikos srityse ir didinti suinteresuotųjų subjektų </w:t>
            </w:r>
            <w:r w:rsidRPr="00BA591B">
              <w:rPr>
                <w:rFonts w:ascii="Times New Roman" w:hAnsi="Times New Roman" w:cs="Times New Roman"/>
              </w:rPr>
              <w:lastRenderedPageBreak/>
              <w:t>gebėjimus nacionaliniu ir vietos lygmenimis rengti, kurti ir įgyvendinti, perduoti ar plėsti išbandytas socialinės politikos inovacijas, visų pirma susijusias su vietos suinteresuotųjų subjektų parengtų projektų trečiųjų valstybių piliečių socialinės ir ekonominės integracijos srityje platesniu taikymu;</w:t>
            </w:r>
          </w:p>
          <w:p w14:paraId="3006B972" w14:textId="77777777" w:rsidR="00C77C69" w:rsidRPr="00BA591B" w:rsidRDefault="00C77C69" w:rsidP="00C77C69">
            <w:pPr>
              <w:pStyle w:val="Default"/>
              <w:jc w:val="both"/>
              <w:rPr>
                <w:rFonts w:ascii="Times New Roman" w:hAnsi="Times New Roman" w:cs="Times New Roman"/>
              </w:rPr>
            </w:pPr>
            <w:r w:rsidRPr="00BA591B">
              <w:rPr>
                <w:rFonts w:ascii="Times New Roman" w:hAnsi="Times New Roman" w:cs="Times New Roman"/>
              </w:rPr>
              <w:t>d) palengvinti savanorišką geografinį darbuotojų judumą ir didinti užimtumo galimybes kuriant ir teikiant specialias paramos paslaugas darbdaviams ir darbo ieškantiems asmenims siekiant sukurti integruotas Europos darbo rinkas, pradedant parengimu įsidarbinti ir baigiant pagalba įsidarbinusiems asmenims, kad būtų užpildytos darbo vietos tam tikruose sektoriuose, profesinėse srityse, valstybėse, pasienio regionuose arba konkrečioms grupėms, kaip antai pažeidžiamoje padėtyje esantiems asmenims skirtos darbo vietos;</w:t>
            </w:r>
          </w:p>
          <w:p w14:paraId="0D052A53" w14:textId="77777777" w:rsidR="00C77C69" w:rsidRPr="00BA591B" w:rsidRDefault="00C77C69" w:rsidP="00C77C69">
            <w:pPr>
              <w:pStyle w:val="Default"/>
              <w:jc w:val="both"/>
              <w:rPr>
                <w:rFonts w:ascii="Times New Roman" w:hAnsi="Times New Roman" w:cs="Times New Roman"/>
              </w:rPr>
            </w:pPr>
            <w:r w:rsidRPr="00BA591B">
              <w:rPr>
                <w:rFonts w:ascii="Times New Roman" w:hAnsi="Times New Roman" w:cs="Times New Roman"/>
              </w:rPr>
              <w:t xml:space="preserve">e) remti rinkos ekosistemos, susijusios su labai mažų įmonių, visų pirma tų, kurias įsteigė pažeidžiamoje padėtyje esantys asmenys arba kuriose dirba tokie asmenys, </w:t>
            </w:r>
            <w:proofErr w:type="spellStart"/>
            <w:r w:rsidRPr="00BA591B">
              <w:rPr>
                <w:rFonts w:ascii="Times New Roman" w:hAnsi="Times New Roman" w:cs="Times New Roman"/>
              </w:rPr>
              <w:t>mikrofinansavimu</w:t>
            </w:r>
            <w:proofErr w:type="spellEnd"/>
            <w:r w:rsidRPr="00BA591B">
              <w:rPr>
                <w:rFonts w:ascii="Times New Roman" w:hAnsi="Times New Roman" w:cs="Times New Roman"/>
              </w:rPr>
              <w:t xml:space="preserve"> steigimosi ir plėtros etapais, plėtojimą;</w:t>
            </w:r>
          </w:p>
          <w:p w14:paraId="1A3578D0" w14:textId="77777777" w:rsidR="00C77C69" w:rsidRPr="00BA591B" w:rsidRDefault="00C77C69" w:rsidP="00C77C69">
            <w:pPr>
              <w:pStyle w:val="Default"/>
              <w:jc w:val="both"/>
              <w:rPr>
                <w:rFonts w:ascii="Times New Roman" w:hAnsi="Times New Roman" w:cs="Times New Roman"/>
              </w:rPr>
            </w:pPr>
            <w:r w:rsidRPr="00BA591B">
              <w:rPr>
                <w:rFonts w:ascii="Times New Roman" w:hAnsi="Times New Roman" w:cs="Times New Roman"/>
              </w:rPr>
              <w:t>f) remti tinklaveiką Sąjungos lygmeniu ir dialogą su atitinkamais suinteresuotaisiais subjektais bei jų tarpusavio dialogą 4 straipsnyje nurodytose srityse ir prisidėti prie dalyvaujančių suinteresuotųjų subjektų, įskaitant valstybines užimtumo tarnybas, valstybines socialinės apsaugos institucijas ir sveikatos draudimo įstaigas, pilietinę visuomenę, mikrofinansų įstaigas ir socialinėms įmonėms bei socialinės ekonomikos reikmėms lėšas skiriančias institucijas, institucinių gebėjimų stiprinimo;</w:t>
            </w:r>
          </w:p>
          <w:p w14:paraId="1068820E" w14:textId="77777777" w:rsidR="00C77C69" w:rsidRPr="00BA591B" w:rsidRDefault="00C77C69" w:rsidP="00C77C69">
            <w:pPr>
              <w:pStyle w:val="Default"/>
              <w:jc w:val="both"/>
              <w:rPr>
                <w:rFonts w:ascii="Times New Roman" w:hAnsi="Times New Roman" w:cs="Times New Roman"/>
              </w:rPr>
            </w:pPr>
            <w:r w:rsidRPr="00BA591B">
              <w:rPr>
                <w:rFonts w:ascii="Times New Roman" w:hAnsi="Times New Roman" w:cs="Times New Roman"/>
              </w:rPr>
              <w:t>g) remti socialinių įmonių plėtrą ir socialinių investicijų rinkos atsiradimą, sudarant sąlygas valstybinio ir privačiojo sektorių sąveikai ir fondų bei labdarą teikiančių subjektų dalyvavimui toje rinkoje;</w:t>
            </w:r>
          </w:p>
          <w:p w14:paraId="1452194C" w14:textId="77777777" w:rsidR="00C77C69" w:rsidRPr="00BA591B" w:rsidRDefault="00C77C69" w:rsidP="00C77C69">
            <w:pPr>
              <w:pStyle w:val="Default"/>
              <w:jc w:val="both"/>
              <w:rPr>
                <w:rFonts w:ascii="Times New Roman" w:hAnsi="Times New Roman" w:cs="Times New Roman"/>
              </w:rPr>
            </w:pPr>
            <w:r w:rsidRPr="00BA591B">
              <w:rPr>
                <w:rFonts w:ascii="Times New Roman" w:hAnsi="Times New Roman" w:cs="Times New Roman"/>
              </w:rPr>
              <w:t>h) pateikti socialinės infrastruktūros, reikalingos Europos socialinių teisių ramsčiui įgyvendinti, plėtros gaires;</w:t>
            </w:r>
          </w:p>
          <w:p w14:paraId="2CA133A8" w14:textId="77777777" w:rsidR="00C77C69" w:rsidRPr="00BA591B" w:rsidRDefault="00C77C69" w:rsidP="00C77C69">
            <w:pPr>
              <w:pStyle w:val="Default"/>
              <w:jc w:val="both"/>
              <w:rPr>
                <w:rFonts w:ascii="Times New Roman" w:hAnsi="Times New Roman" w:cs="Times New Roman"/>
              </w:rPr>
            </w:pPr>
            <w:r w:rsidRPr="00BA591B">
              <w:rPr>
                <w:rFonts w:ascii="Times New Roman" w:hAnsi="Times New Roman" w:cs="Times New Roman"/>
              </w:rPr>
              <w:lastRenderedPageBreak/>
              <w:t>i) remti tarpvalstybinį bendradarbiavimą siekiant paspartinti novatoriškų sprendimų perkėlimą ir palengvinti jų plėtojimą, visų pirma 4 straipsnio 1 dalyje nustatytose politikos srityse, ir</w:t>
            </w:r>
          </w:p>
          <w:p w14:paraId="7D19CFA7" w14:textId="3F476C9A" w:rsidR="00A801C7" w:rsidRPr="00BA591B" w:rsidRDefault="00C77C69" w:rsidP="00C77C69">
            <w:pPr>
              <w:pStyle w:val="Default"/>
              <w:jc w:val="both"/>
              <w:rPr>
                <w:rFonts w:ascii="Times New Roman" w:hAnsi="Times New Roman" w:cs="Times New Roman"/>
              </w:rPr>
            </w:pPr>
            <w:r w:rsidRPr="00BA591B">
              <w:rPr>
                <w:rFonts w:ascii="Times New Roman" w:hAnsi="Times New Roman" w:cs="Times New Roman"/>
              </w:rPr>
              <w:t>j) remti atitinkamų tarptautinių socialinių ir darbo standartų įgyvendinimą, atsižvelgiant į siekį suvaldyti globalizaciją ir į Sąjungos politikos sričių išorės aspektą, 4 straipsnio 1 dalyje nustatytose politikos srityse.</w:t>
            </w:r>
          </w:p>
        </w:tc>
        <w:tc>
          <w:tcPr>
            <w:tcW w:w="7110" w:type="dxa"/>
            <w:vMerge/>
          </w:tcPr>
          <w:p w14:paraId="62403F90" w14:textId="77777777" w:rsidR="00A801C7" w:rsidRPr="00BA591B" w:rsidRDefault="00A801C7" w:rsidP="00FE7DBB">
            <w:pPr>
              <w:spacing w:line="360" w:lineRule="atLeast"/>
              <w:rPr>
                <w:szCs w:val="24"/>
              </w:rPr>
            </w:pPr>
          </w:p>
        </w:tc>
        <w:tc>
          <w:tcPr>
            <w:tcW w:w="1800" w:type="dxa"/>
            <w:vMerge/>
          </w:tcPr>
          <w:p w14:paraId="55D367EE" w14:textId="77777777" w:rsidR="00A801C7" w:rsidRPr="00BA591B" w:rsidRDefault="00A801C7" w:rsidP="00281A53">
            <w:pPr>
              <w:rPr>
                <w:szCs w:val="24"/>
              </w:rPr>
            </w:pPr>
          </w:p>
        </w:tc>
      </w:tr>
      <w:tr w:rsidR="00A801C7" w:rsidRPr="00BA591B" w14:paraId="58E04619" w14:textId="77777777" w:rsidTr="00822666">
        <w:tc>
          <w:tcPr>
            <w:tcW w:w="6210" w:type="dxa"/>
          </w:tcPr>
          <w:p w14:paraId="7FB3E767" w14:textId="6AB0C442" w:rsidR="00A801C7" w:rsidRPr="00BA591B" w:rsidRDefault="00A801C7" w:rsidP="006B4218">
            <w:pPr>
              <w:pStyle w:val="Default"/>
              <w:jc w:val="both"/>
              <w:rPr>
                <w:rFonts w:ascii="Times New Roman" w:hAnsi="Times New Roman" w:cs="Times New Roman"/>
                <w:b/>
              </w:rPr>
            </w:pPr>
            <w:r w:rsidRPr="00BA591B">
              <w:rPr>
                <w:rFonts w:ascii="Times New Roman" w:hAnsi="Times New Roman" w:cs="Times New Roman"/>
                <w:b/>
              </w:rPr>
              <w:lastRenderedPageBreak/>
              <w:t>26 straipsnio 2</w:t>
            </w:r>
            <w:r w:rsidR="007E541E" w:rsidRPr="00BA591B">
              <w:rPr>
                <w:rFonts w:ascii="Times New Roman" w:hAnsi="Times New Roman" w:cs="Times New Roman"/>
                <w:b/>
              </w:rPr>
              <w:t xml:space="preserve"> dalies</w:t>
            </w:r>
            <w:r w:rsidRPr="00BA591B">
              <w:rPr>
                <w:rFonts w:ascii="Times New Roman" w:hAnsi="Times New Roman" w:cs="Times New Roman"/>
                <w:b/>
              </w:rPr>
              <w:t xml:space="preserve"> c) </w:t>
            </w:r>
            <w:r w:rsidR="007E541E" w:rsidRPr="00BA591B">
              <w:rPr>
                <w:rFonts w:ascii="Times New Roman" w:hAnsi="Times New Roman" w:cs="Times New Roman"/>
                <w:b/>
              </w:rPr>
              <w:t xml:space="preserve">punkto </w:t>
            </w:r>
            <w:r w:rsidRPr="00BA591B">
              <w:rPr>
                <w:rFonts w:ascii="Times New Roman" w:hAnsi="Times New Roman" w:cs="Times New Roman"/>
                <w:b/>
              </w:rPr>
              <w:t>ii) papunktis</w:t>
            </w:r>
          </w:p>
          <w:p w14:paraId="3B5C5776" w14:textId="58FA7AB8" w:rsidR="00A801C7" w:rsidRPr="00BA591B" w:rsidRDefault="00A801C7" w:rsidP="006B4218">
            <w:pPr>
              <w:pStyle w:val="Default"/>
              <w:jc w:val="both"/>
              <w:rPr>
                <w:rFonts w:ascii="Times New Roman" w:hAnsi="Times New Roman" w:cs="Times New Roman"/>
              </w:rPr>
            </w:pPr>
            <w:r w:rsidRPr="00BA591B">
              <w:rPr>
                <w:rFonts w:ascii="Times New Roman" w:hAnsi="Times New Roman" w:cs="Times New Roman"/>
              </w:rPr>
              <w:t xml:space="preserve">nacionalinių kontaktinių punktų, teikiančių su </w:t>
            </w:r>
            <w:proofErr w:type="spellStart"/>
            <w:r w:rsidRPr="00BA591B">
              <w:rPr>
                <w:rFonts w:ascii="Times New Roman" w:hAnsi="Times New Roman" w:cs="Times New Roman"/>
              </w:rPr>
              <w:t>EaSI</w:t>
            </w:r>
            <w:proofErr w:type="spellEnd"/>
            <w:r w:rsidRPr="00BA591B">
              <w:rPr>
                <w:rFonts w:ascii="Times New Roman" w:hAnsi="Times New Roman" w:cs="Times New Roman"/>
              </w:rPr>
              <w:t xml:space="preserve"> krypties įgyvendinimu susijusias gaires, informaciją ir paramą, gebėjimų stiprinimą.</w:t>
            </w:r>
          </w:p>
        </w:tc>
        <w:tc>
          <w:tcPr>
            <w:tcW w:w="7110" w:type="dxa"/>
            <w:vMerge/>
          </w:tcPr>
          <w:p w14:paraId="6094286D" w14:textId="77777777" w:rsidR="00A801C7" w:rsidRPr="00BA591B" w:rsidRDefault="00A801C7" w:rsidP="006B4218">
            <w:pPr>
              <w:spacing w:line="360" w:lineRule="atLeast"/>
              <w:rPr>
                <w:szCs w:val="24"/>
              </w:rPr>
            </w:pPr>
          </w:p>
        </w:tc>
        <w:tc>
          <w:tcPr>
            <w:tcW w:w="1800" w:type="dxa"/>
            <w:vMerge/>
          </w:tcPr>
          <w:p w14:paraId="2EDFC048" w14:textId="77777777" w:rsidR="00A801C7" w:rsidRPr="00BA591B" w:rsidRDefault="00A801C7" w:rsidP="006B4218">
            <w:pPr>
              <w:rPr>
                <w:szCs w:val="24"/>
              </w:rPr>
            </w:pPr>
          </w:p>
        </w:tc>
      </w:tr>
      <w:tr w:rsidR="00A801C7" w:rsidRPr="00BA591B" w14:paraId="6C786E85" w14:textId="77777777" w:rsidTr="00822666">
        <w:tc>
          <w:tcPr>
            <w:tcW w:w="6210" w:type="dxa"/>
          </w:tcPr>
          <w:p w14:paraId="1647E691" w14:textId="5947738E" w:rsidR="00A801C7" w:rsidRPr="00BA591B" w:rsidRDefault="00A801C7" w:rsidP="006B4218">
            <w:pPr>
              <w:pStyle w:val="Default"/>
              <w:jc w:val="both"/>
              <w:rPr>
                <w:rFonts w:ascii="Times New Roman" w:eastAsia="Calibri" w:hAnsi="Times New Roman" w:cs="Times New Roman"/>
                <w:b/>
                <w:szCs w:val="22"/>
              </w:rPr>
            </w:pPr>
            <w:r w:rsidRPr="00BA591B">
              <w:rPr>
                <w:rFonts w:ascii="Times New Roman" w:eastAsia="Calibri" w:hAnsi="Times New Roman" w:cs="Times New Roman"/>
                <w:b/>
                <w:szCs w:val="22"/>
              </w:rPr>
              <w:t xml:space="preserve">39 straipsnio 7 </w:t>
            </w:r>
            <w:r w:rsidR="007E541E" w:rsidRPr="00BA591B">
              <w:rPr>
                <w:rFonts w:ascii="Times New Roman" w:eastAsia="Calibri" w:hAnsi="Times New Roman" w:cs="Times New Roman"/>
                <w:b/>
                <w:szCs w:val="22"/>
              </w:rPr>
              <w:t>dalis</w:t>
            </w:r>
          </w:p>
          <w:p w14:paraId="57597EDA" w14:textId="04C0C40D" w:rsidR="00A801C7" w:rsidRPr="00BA591B" w:rsidRDefault="00A801C7" w:rsidP="006B4218">
            <w:pPr>
              <w:pStyle w:val="Default"/>
              <w:jc w:val="both"/>
              <w:rPr>
                <w:rFonts w:ascii="Times New Roman" w:hAnsi="Times New Roman" w:cs="Times New Roman"/>
                <w:b/>
              </w:rPr>
            </w:pPr>
            <w:r w:rsidRPr="00BA591B">
              <w:rPr>
                <w:rFonts w:ascii="Times New Roman" w:hAnsi="Times New Roman" w:cs="Times New Roman"/>
                <w:bCs/>
              </w:rPr>
              <w:t>ESF+ komitetas sudaro darbo grupes kiekvienai iš ESF+ krypčių.</w:t>
            </w:r>
          </w:p>
        </w:tc>
        <w:tc>
          <w:tcPr>
            <w:tcW w:w="7110" w:type="dxa"/>
            <w:vMerge/>
          </w:tcPr>
          <w:p w14:paraId="1F64559A" w14:textId="77777777" w:rsidR="00A801C7" w:rsidRPr="00BA591B" w:rsidRDefault="00A801C7" w:rsidP="006B4218">
            <w:pPr>
              <w:spacing w:line="360" w:lineRule="atLeast"/>
              <w:rPr>
                <w:szCs w:val="24"/>
              </w:rPr>
            </w:pPr>
          </w:p>
        </w:tc>
        <w:tc>
          <w:tcPr>
            <w:tcW w:w="1800" w:type="dxa"/>
            <w:vMerge/>
          </w:tcPr>
          <w:p w14:paraId="6734B7B4" w14:textId="77777777" w:rsidR="00A801C7" w:rsidRPr="00BA591B" w:rsidRDefault="00A801C7" w:rsidP="006B4218">
            <w:pPr>
              <w:rPr>
                <w:szCs w:val="24"/>
              </w:rPr>
            </w:pPr>
          </w:p>
        </w:tc>
      </w:tr>
    </w:tbl>
    <w:p w14:paraId="7E5FCE41" w14:textId="77777777" w:rsidR="00135989" w:rsidRPr="00BA591B" w:rsidRDefault="00135989" w:rsidP="00206223">
      <w:pPr>
        <w:rPr>
          <w:szCs w:val="24"/>
        </w:rPr>
      </w:pPr>
    </w:p>
    <w:p w14:paraId="3C788701" w14:textId="77777777" w:rsidR="00FE7DBB" w:rsidRPr="00BA591B" w:rsidRDefault="00FE7DBB" w:rsidP="00206223">
      <w:pPr>
        <w:rPr>
          <w:szCs w:val="24"/>
        </w:rPr>
      </w:pPr>
    </w:p>
    <w:sectPr w:rsidR="00FE7DBB" w:rsidRPr="00BA591B" w:rsidSect="007B4BBA">
      <w:footerReference w:type="even" r:id="rId8"/>
      <w:footerReference w:type="default" r:id="rId9"/>
      <w:pgSz w:w="16840" w:h="11907" w:orient="landscape" w:code="9"/>
      <w:pgMar w:top="1276" w:right="1134" w:bottom="56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36F69" w14:textId="77777777" w:rsidR="00AD69D2" w:rsidRDefault="00AD69D2">
      <w:r>
        <w:separator/>
      </w:r>
    </w:p>
  </w:endnote>
  <w:endnote w:type="continuationSeparator" w:id="0">
    <w:p w14:paraId="5ED3C89A" w14:textId="77777777" w:rsidR="00AD69D2" w:rsidRDefault="00AD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sig w:usb0="00000207" w:usb1="00000000" w:usb2="00000000" w:usb3="00000000" w:csb0="00000085"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EE"/>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D159D" w14:textId="77777777" w:rsidR="00C65A02" w:rsidRDefault="00C65A02" w:rsidP="008A7BA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E319DB" w14:textId="77777777" w:rsidR="00C65A02" w:rsidRDefault="00C65A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7C2C4" w14:textId="77777777" w:rsidR="00C65A02" w:rsidRDefault="00C65A02" w:rsidP="002B140E">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E91BA" w14:textId="77777777" w:rsidR="00AD69D2" w:rsidRDefault="00AD69D2">
      <w:r>
        <w:separator/>
      </w:r>
    </w:p>
  </w:footnote>
  <w:footnote w:type="continuationSeparator" w:id="0">
    <w:p w14:paraId="0A515452" w14:textId="77777777" w:rsidR="00AD69D2" w:rsidRDefault="00AD6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43FC3"/>
    <w:multiLevelType w:val="singleLevel"/>
    <w:tmpl w:val="33EC5718"/>
    <w:lvl w:ilvl="0">
      <w:start w:val="1"/>
      <w:numFmt w:val="decimal"/>
      <w:lvlText w:val="%1."/>
      <w:lvlJc w:val="left"/>
      <w:pPr>
        <w:tabs>
          <w:tab w:val="num" w:pos="360"/>
        </w:tabs>
        <w:ind w:left="360" w:hanging="360"/>
      </w:pPr>
      <w:rPr>
        <w:rFonts w:hint="default"/>
      </w:rPr>
    </w:lvl>
  </w:abstractNum>
  <w:abstractNum w:abstractNumId="1" w15:restartNumberingAfterBreak="0">
    <w:nsid w:val="187A2733"/>
    <w:multiLevelType w:val="singleLevel"/>
    <w:tmpl w:val="33EC5718"/>
    <w:lvl w:ilvl="0">
      <w:start w:val="1"/>
      <w:numFmt w:val="decimal"/>
      <w:lvlText w:val="%1."/>
      <w:lvlJc w:val="left"/>
      <w:pPr>
        <w:tabs>
          <w:tab w:val="num" w:pos="360"/>
        </w:tabs>
        <w:ind w:left="360" w:hanging="360"/>
      </w:pPr>
      <w:rPr>
        <w:rFonts w:hint="default"/>
      </w:rPr>
    </w:lvl>
  </w:abstractNum>
  <w:abstractNum w:abstractNumId="2" w15:restartNumberingAfterBreak="0">
    <w:nsid w:val="26891EB6"/>
    <w:multiLevelType w:val="singleLevel"/>
    <w:tmpl w:val="33EC5718"/>
    <w:lvl w:ilvl="0">
      <w:start w:val="1"/>
      <w:numFmt w:val="decimal"/>
      <w:lvlText w:val="%1."/>
      <w:lvlJc w:val="left"/>
      <w:pPr>
        <w:tabs>
          <w:tab w:val="num" w:pos="360"/>
        </w:tabs>
        <w:ind w:left="360" w:hanging="360"/>
      </w:pPr>
      <w:rPr>
        <w:rFonts w:hint="default"/>
      </w:rPr>
    </w:lvl>
  </w:abstractNum>
  <w:abstractNum w:abstractNumId="3" w15:restartNumberingAfterBreak="0">
    <w:nsid w:val="288D5465"/>
    <w:multiLevelType w:val="singleLevel"/>
    <w:tmpl w:val="B8BEEF3A"/>
    <w:lvl w:ilvl="0">
      <w:start w:val="1"/>
      <w:numFmt w:val="bullet"/>
      <w:lvlText w:val="-"/>
      <w:lvlJc w:val="left"/>
      <w:pPr>
        <w:tabs>
          <w:tab w:val="num" w:pos="360"/>
        </w:tabs>
        <w:ind w:left="360" w:hanging="360"/>
      </w:pPr>
      <w:rPr>
        <w:rFonts w:hint="default"/>
      </w:rPr>
    </w:lvl>
  </w:abstractNum>
  <w:abstractNum w:abstractNumId="4" w15:restartNumberingAfterBreak="0">
    <w:nsid w:val="32854A4C"/>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4A3052D9"/>
    <w:multiLevelType w:val="hybridMultilevel"/>
    <w:tmpl w:val="0D8882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A43F5F"/>
    <w:multiLevelType w:val="singleLevel"/>
    <w:tmpl w:val="33EC5718"/>
    <w:lvl w:ilvl="0">
      <w:start w:val="1"/>
      <w:numFmt w:val="decimal"/>
      <w:lvlText w:val="%1."/>
      <w:lvlJc w:val="left"/>
      <w:pPr>
        <w:tabs>
          <w:tab w:val="num" w:pos="360"/>
        </w:tabs>
        <w:ind w:left="360" w:hanging="360"/>
      </w:pPr>
      <w:rPr>
        <w:rFonts w:hint="default"/>
      </w:rPr>
    </w:lvl>
  </w:abstractNum>
  <w:abstractNum w:abstractNumId="7" w15:restartNumberingAfterBreak="0">
    <w:nsid w:val="5DB47FD7"/>
    <w:multiLevelType w:val="singleLevel"/>
    <w:tmpl w:val="33EC5718"/>
    <w:lvl w:ilvl="0">
      <w:start w:val="1"/>
      <w:numFmt w:val="decimal"/>
      <w:lvlText w:val="%1."/>
      <w:lvlJc w:val="left"/>
      <w:pPr>
        <w:tabs>
          <w:tab w:val="num" w:pos="360"/>
        </w:tabs>
        <w:ind w:left="360" w:hanging="360"/>
      </w:pPr>
      <w:rPr>
        <w:rFonts w:hint="default"/>
      </w:rPr>
    </w:lvl>
  </w:abstractNum>
  <w:abstractNum w:abstractNumId="8" w15:restartNumberingAfterBreak="0">
    <w:nsid w:val="713961D9"/>
    <w:multiLevelType w:val="singleLevel"/>
    <w:tmpl w:val="33EC5718"/>
    <w:lvl w:ilvl="0">
      <w:start w:val="1"/>
      <w:numFmt w:val="decimal"/>
      <w:lvlText w:val="%1."/>
      <w:lvlJc w:val="left"/>
      <w:pPr>
        <w:tabs>
          <w:tab w:val="num" w:pos="360"/>
        </w:tabs>
        <w:ind w:left="360" w:hanging="360"/>
      </w:pPr>
      <w:rPr>
        <w:rFonts w:hint="default"/>
      </w:rPr>
    </w:lvl>
  </w:abstractNum>
  <w:abstractNum w:abstractNumId="9" w15:restartNumberingAfterBreak="0">
    <w:nsid w:val="77AF4A21"/>
    <w:multiLevelType w:val="singleLevel"/>
    <w:tmpl w:val="136A33E2"/>
    <w:lvl w:ilvl="0">
      <w:start w:val="1"/>
      <w:numFmt w:val="lowerLetter"/>
      <w:lvlText w:val="%1)"/>
      <w:lvlJc w:val="left"/>
      <w:pPr>
        <w:tabs>
          <w:tab w:val="num" w:pos="360"/>
        </w:tabs>
        <w:ind w:left="0" w:firstLine="0"/>
      </w:pPr>
    </w:lvl>
  </w:abstractNum>
  <w:num w:numId="1">
    <w:abstractNumId w:val="4"/>
  </w:num>
  <w:num w:numId="2">
    <w:abstractNumId w:val="9"/>
  </w:num>
  <w:num w:numId="3">
    <w:abstractNumId w:val="6"/>
  </w:num>
  <w:num w:numId="4">
    <w:abstractNumId w:val="7"/>
  </w:num>
  <w:num w:numId="5">
    <w:abstractNumId w:val="2"/>
  </w:num>
  <w:num w:numId="6">
    <w:abstractNumId w:val="8"/>
  </w:num>
  <w:num w:numId="7">
    <w:abstractNumId w:val="1"/>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D67"/>
    <w:rsid w:val="000606E1"/>
    <w:rsid w:val="00062A16"/>
    <w:rsid w:val="000A1F19"/>
    <w:rsid w:val="000A5AFB"/>
    <w:rsid w:val="000B3A4A"/>
    <w:rsid w:val="000D045B"/>
    <w:rsid w:val="000E575F"/>
    <w:rsid w:val="00135989"/>
    <w:rsid w:val="00155755"/>
    <w:rsid w:val="00170BAA"/>
    <w:rsid w:val="0017758C"/>
    <w:rsid w:val="00196C22"/>
    <w:rsid w:val="001A43C7"/>
    <w:rsid w:val="001C44E7"/>
    <w:rsid w:val="001E110D"/>
    <w:rsid w:val="001E3101"/>
    <w:rsid w:val="001E567F"/>
    <w:rsid w:val="00206223"/>
    <w:rsid w:val="0023643A"/>
    <w:rsid w:val="0027452E"/>
    <w:rsid w:val="00280DC7"/>
    <w:rsid w:val="002943F5"/>
    <w:rsid w:val="002B140E"/>
    <w:rsid w:val="002B692F"/>
    <w:rsid w:val="002F3390"/>
    <w:rsid w:val="002F614E"/>
    <w:rsid w:val="002F773D"/>
    <w:rsid w:val="002F77BA"/>
    <w:rsid w:val="0031321F"/>
    <w:rsid w:val="00330B66"/>
    <w:rsid w:val="00331740"/>
    <w:rsid w:val="00335680"/>
    <w:rsid w:val="0033742A"/>
    <w:rsid w:val="0034670C"/>
    <w:rsid w:val="00351C2B"/>
    <w:rsid w:val="003A022D"/>
    <w:rsid w:val="003B44E1"/>
    <w:rsid w:val="003D01C0"/>
    <w:rsid w:val="003E6CBC"/>
    <w:rsid w:val="004172F4"/>
    <w:rsid w:val="00421D26"/>
    <w:rsid w:val="00463063"/>
    <w:rsid w:val="004E68FE"/>
    <w:rsid w:val="004F179C"/>
    <w:rsid w:val="00507709"/>
    <w:rsid w:val="00515497"/>
    <w:rsid w:val="00531E1C"/>
    <w:rsid w:val="00541F83"/>
    <w:rsid w:val="0054640D"/>
    <w:rsid w:val="005568C9"/>
    <w:rsid w:val="00583DED"/>
    <w:rsid w:val="005A4403"/>
    <w:rsid w:val="005E1ABA"/>
    <w:rsid w:val="005E738C"/>
    <w:rsid w:val="006348BF"/>
    <w:rsid w:val="00652852"/>
    <w:rsid w:val="0069653B"/>
    <w:rsid w:val="006A40C4"/>
    <w:rsid w:val="006B4218"/>
    <w:rsid w:val="006C3C46"/>
    <w:rsid w:val="006E5208"/>
    <w:rsid w:val="0072138A"/>
    <w:rsid w:val="007269D3"/>
    <w:rsid w:val="00727D67"/>
    <w:rsid w:val="007502B5"/>
    <w:rsid w:val="00756D40"/>
    <w:rsid w:val="0076471C"/>
    <w:rsid w:val="00783490"/>
    <w:rsid w:val="00794E88"/>
    <w:rsid w:val="007A0F09"/>
    <w:rsid w:val="007A20F8"/>
    <w:rsid w:val="007B1524"/>
    <w:rsid w:val="007B4BBA"/>
    <w:rsid w:val="007E1F6B"/>
    <w:rsid w:val="007E541E"/>
    <w:rsid w:val="008208F1"/>
    <w:rsid w:val="00822666"/>
    <w:rsid w:val="00825E4B"/>
    <w:rsid w:val="008426EC"/>
    <w:rsid w:val="0085544C"/>
    <w:rsid w:val="00860009"/>
    <w:rsid w:val="008A540C"/>
    <w:rsid w:val="008A7BAD"/>
    <w:rsid w:val="008F6DE9"/>
    <w:rsid w:val="009013F0"/>
    <w:rsid w:val="0091770B"/>
    <w:rsid w:val="00947EDE"/>
    <w:rsid w:val="00977713"/>
    <w:rsid w:val="009779FF"/>
    <w:rsid w:val="009B304B"/>
    <w:rsid w:val="009C2C42"/>
    <w:rsid w:val="009C3604"/>
    <w:rsid w:val="009E2504"/>
    <w:rsid w:val="00A0293B"/>
    <w:rsid w:val="00A0513A"/>
    <w:rsid w:val="00A24C33"/>
    <w:rsid w:val="00A2678A"/>
    <w:rsid w:val="00A34440"/>
    <w:rsid w:val="00A412DF"/>
    <w:rsid w:val="00A73B09"/>
    <w:rsid w:val="00A801C7"/>
    <w:rsid w:val="00A865F5"/>
    <w:rsid w:val="00A91F58"/>
    <w:rsid w:val="00AA3A5E"/>
    <w:rsid w:val="00AB12D4"/>
    <w:rsid w:val="00AD69D2"/>
    <w:rsid w:val="00B03D52"/>
    <w:rsid w:val="00B16C76"/>
    <w:rsid w:val="00B17DD3"/>
    <w:rsid w:val="00B65A81"/>
    <w:rsid w:val="00B75EBE"/>
    <w:rsid w:val="00B8261F"/>
    <w:rsid w:val="00BA0B38"/>
    <w:rsid w:val="00BA591B"/>
    <w:rsid w:val="00BB0528"/>
    <w:rsid w:val="00BB30C7"/>
    <w:rsid w:val="00BB380C"/>
    <w:rsid w:val="00BB52A9"/>
    <w:rsid w:val="00BB690D"/>
    <w:rsid w:val="00BC0D63"/>
    <w:rsid w:val="00BC186E"/>
    <w:rsid w:val="00BE1B89"/>
    <w:rsid w:val="00C14264"/>
    <w:rsid w:val="00C203C1"/>
    <w:rsid w:val="00C56594"/>
    <w:rsid w:val="00C65A02"/>
    <w:rsid w:val="00C77C69"/>
    <w:rsid w:val="00C84029"/>
    <w:rsid w:val="00CD6DA7"/>
    <w:rsid w:val="00CF1563"/>
    <w:rsid w:val="00CF6828"/>
    <w:rsid w:val="00CF7288"/>
    <w:rsid w:val="00D32D63"/>
    <w:rsid w:val="00D42724"/>
    <w:rsid w:val="00D56875"/>
    <w:rsid w:val="00D6114C"/>
    <w:rsid w:val="00D65C76"/>
    <w:rsid w:val="00D76D05"/>
    <w:rsid w:val="00DA11F4"/>
    <w:rsid w:val="00DA5CE5"/>
    <w:rsid w:val="00E17C9B"/>
    <w:rsid w:val="00E35855"/>
    <w:rsid w:val="00E51C53"/>
    <w:rsid w:val="00E629F7"/>
    <w:rsid w:val="00EA384A"/>
    <w:rsid w:val="00ED6413"/>
    <w:rsid w:val="00EE5908"/>
    <w:rsid w:val="00EF7209"/>
    <w:rsid w:val="00F30100"/>
    <w:rsid w:val="00F31E44"/>
    <w:rsid w:val="00F3275E"/>
    <w:rsid w:val="00F4794C"/>
    <w:rsid w:val="00F812F2"/>
    <w:rsid w:val="00FB7E5C"/>
    <w:rsid w:val="00FE7D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9EEDB1"/>
  <w15:docId w15:val="{3CE988B8-C068-4D86-86C6-0FA9566D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6223"/>
    <w:pPr>
      <w:jc w:val="both"/>
    </w:pPr>
    <w:rPr>
      <w:sz w:val="24"/>
    </w:rPr>
  </w:style>
  <w:style w:type="paragraph" w:styleId="Antrat1">
    <w:name w:val="heading 1"/>
    <w:basedOn w:val="prastasis"/>
    <w:qFormat/>
    <w:pPr>
      <w:spacing w:before="100" w:beforeAutospacing="1" w:after="100" w:afterAutospacing="1"/>
      <w:jc w:val="center"/>
      <w:outlineLvl w:val="0"/>
    </w:pPr>
    <w:rPr>
      <w:b/>
      <w:bCs/>
      <w:kern w:val="36"/>
      <w:sz w:val="16"/>
      <w:szCs w:val="16"/>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agrindinistekstas3">
    <w:name w:val="Body Text 3"/>
    <w:basedOn w:val="prastasis"/>
    <w:pPr>
      <w:jc w:val="center"/>
    </w:pPr>
    <w:rPr>
      <w:b/>
    </w:rPr>
  </w:style>
  <w:style w:type="character" w:customStyle="1" w:styleId="Datametai">
    <w:name w:val="Data_metai"/>
    <w:basedOn w:val="Numatytasispastraiposriftas"/>
  </w:style>
  <w:style w:type="character" w:customStyle="1" w:styleId="Datamnuo">
    <w:name w:val="Data_mënuo"/>
    <w:rPr>
      <w:rFonts w:ascii="HelveticaLT" w:hAnsi="HelveticaLT"/>
      <w:sz w:val="24"/>
    </w:rPr>
  </w:style>
  <w:style w:type="character" w:customStyle="1" w:styleId="Datadiena">
    <w:name w:val="Data_diena"/>
    <w:basedOn w:val="Numatytasispastraiposriftas"/>
  </w:style>
  <w:style w:type="character" w:customStyle="1" w:styleId="statymoNr">
    <w:name w:val="Įstatymo Nr."/>
    <w:rPr>
      <w:rFonts w:ascii="HelveticaLT" w:hAnsi="HelveticaLT"/>
    </w:rPr>
  </w:style>
  <w:style w:type="paragraph" w:styleId="Pagrindinistekstas">
    <w:name w:val="Body Text"/>
    <w:basedOn w:val="prastasis"/>
    <w:pPr>
      <w:spacing w:after="120"/>
    </w:pPr>
  </w:style>
  <w:style w:type="paragraph" w:styleId="Pagrindiniotekstotrauka">
    <w:name w:val="Body Text Indent"/>
    <w:basedOn w:val="prastasis"/>
    <w:pPr>
      <w:spacing w:after="120"/>
      <w:ind w:left="283"/>
    </w:pPr>
  </w:style>
  <w:style w:type="paragraph" w:customStyle="1" w:styleId="tekstas">
    <w:name w:val="tekstas"/>
    <w:basedOn w:val="prastasis"/>
    <w:pPr>
      <w:spacing w:before="100" w:beforeAutospacing="1" w:after="100" w:afterAutospacing="1"/>
    </w:pPr>
  </w:style>
  <w:style w:type="character" w:styleId="Puslapioinaosnuoroda">
    <w:name w:val="footnote reference"/>
    <w:basedOn w:val="Numatytasispastraiposriftas"/>
    <w:semiHidden/>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CentrBold">
    <w:name w:val="CentrBold"/>
    <w:pPr>
      <w:jc w:val="center"/>
    </w:pPr>
    <w:rPr>
      <w:rFonts w:ascii="TimesLT" w:hAnsi="TimesLT"/>
      <w:b/>
      <w:caps/>
      <w:snapToGrid w:val="0"/>
      <w:lang w:val="en-US" w:eastAsia="en-US"/>
    </w:rPr>
  </w:style>
  <w:style w:type="paragraph" w:styleId="Pagrindiniotekstotrauka3">
    <w:name w:val="Body Text Indent 3"/>
    <w:basedOn w:val="prastasis"/>
    <w:pPr>
      <w:spacing w:after="120"/>
      <w:ind w:left="283"/>
    </w:pPr>
    <w:rPr>
      <w:sz w:val="16"/>
      <w:szCs w:val="16"/>
    </w:rPr>
  </w:style>
  <w:style w:type="paragraph" w:styleId="Pagrindiniotekstotrauka2">
    <w:name w:val="Body Text Indent 2"/>
    <w:basedOn w:val="prastasis"/>
    <w:pPr>
      <w:spacing w:after="120" w:line="480" w:lineRule="auto"/>
      <w:ind w:left="283"/>
    </w:pPr>
  </w:style>
  <w:style w:type="character" w:customStyle="1" w:styleId="HTMLTypewriter1">
    <w:name w:val="HTML Typewriter1"/>
    <w:rPr>
      <w:rFonts w:ascii="Courier New" w:eastAsia="Times New Roman" w:hAnsi="Courier New" w:cs="Tahoma"/>
      <w:sz w:val="20"/>
      <w:szCs w:val="20"/>
    </w:rPr>
  </w:style>
  <w:style w:type="paragraph" w:styleId="Tekstoblokas">
    <w:name w:val="Block Text"/>
    <w:basedOn w:val="prastasis"/>
    <w:pPr>
      <w:spacing w:before="100" w:beforeAutospacing="1" w:after="100" w:afterAutospacing="1"/>
    </w:pPr>
  </w:style>
  <w:style w:type="paragraph" w:customStyle="1" w:styleId="bodytext">
    <w:name w:val="bodytext"/>
    <w:basedOn w:val="prastasis"/>
    <w:pPr>
      <w:spacing w:before="100" w:beforeAutospacing="1" w:after="100" w:afterAutospacing="1"/>
    </w:pPr>
  </w:style>
  <w:style w:type="paragraph" w:customStyle="1" w:styleId="BalloonText1">
    <w:name w:val="Balloon Text1"/>
    <w:basedOn w:val="prastasis"/>
    <w:semiHidden/>
    <w:rPr>
      <w:rFonts w:ascii="Tahoma" w:hAnsi="Tahoma" w:cs="HelveticaLT"/>
      <w:sz w:val="16"/>
      <w:szCs w:val="16"/>
    </w:r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customStyle="1" w:styleId="mazas">
    <w:name w:val="mazas"/>
    <w:basedOn w:val="prastasis"/>
    <w:pPr>
      <w:spacing w:before="100" w:beforeAutospacing="1" w:after="100" w:afterAutospacing="1"/>
    </w:pPr>
    <w:rPr>
      <w:rFonts w:ascii="Arial Unicode MS" w:eastAsia="Arial Unicode MS" w:hAnsi="Arial Unicode MS" w:cs="TimesLT"/>
    </w:rPr>
  </w:style>
  <w:style w:type="paragraph" w:styleId="Pagrindinistekstas2">
    <w:name w:val="Body Text 2"/>
    <w:basedOn w:val="prastasis"/>
    <w:rPr>
      <w:sz w:val="22"/>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sz w:val="20"/>
    </w:rPr>
  </w:style>
  <w:style w:type="paragraph" w:customStyle="1" w:styleId="BalloonText2">
    <w:name w:val="Balloon Text2"/>
    <w:basedOn w:val="prastasis"/>
    <w:semiHidden/>
    <w:rPr>
      <w:rFonts w:ascii="Tahoma" w:hAnsi="Tahoma" w:cs="HelveticaLT"/>
      <w:sz w:val="16"/>
      <w:szCs w:val="16"/>
    </w:rPr>
  </w:style>
  <w:style w:type="paragraph" w:styleId="Puslapioinaostekstas">
    <w:name w:val="footnote text"/>
    <w:basedOn w:val="prastasis"/>
    <w:semiHidden/>
    <w:rPr>
      <w:sz w:val="20"/>
      <w:lang w:eastAsia="en-US"/>
    </w:rPr>
  </w:style>
  <w:style w:type="character" w:styleId="Emfaz">
    <w:name w:val="Emphasis"/>
    <w:qFormat/>
    <w:rPr>
      <w:i/>
    </w:rPr>
  </w:style>
  <w:style w:type="paragraph" w:styleId="Debesliotekstas">
    <w:name w:val="Balloon Text"/>
    <w:basedOn w:val="prastasis"/>
    <w:link w:val="DebesliotekstasDiagrama"/>
    <w:uiPriority w:val="99"/>
    <w:semiHidden/>
    <w:rPr>
      <w:rFonts w:ascii="Tahoma" w:hAnsi="Tahoma" w:cs="Tahoma"/>
      <w:sz w:val="16"/>
      <w:szCs w:val="16"/>
    </w:rPr>
  </w:style>
  <w:style w:type="character" w:styleId="Hipersaitas">
    <w:name w:val="Hyperlink"/>
    <w:rPr>
      <w:color w:val="000000"/>
      <w:u w:val="single"/>
    </w:rPr>
  </w:style>
  <w:style w:type="character" w:styleId="Perirtashipersaitas">
    <w:name w:val="FollowedHyperlink"/>
    <w:rPr>
      <w:color w:val="800080"/>
      <w:u w:val="single"/>
    </w:rPr>
  </w:style>
  <w:style w:type="paragraph" w:styleId="prastasiniatinklio">
    <w:name w:val="Normal (Web)"/>
    <w:basedOn w:val="prastasis"/>
    <w:rsid w:val="00BB380C"/>
    <w:pPr>
      <w:spacing w:before="150" w:after="150"/>
      <w:ind w:left="675" w:right="525"/>
      <w:jc w:val="left"/>
    </w:pPr>
    <w:rPr>
      <w:sz w:val="19"/>
      <w:szCs w:val="19"/>
    </w:rPr>
  </w:style>
  <w:style w:type="paragraph" w:customStyle="1" w:styleId="Default">
    <w:name w:val="Default"/>
    <w:rsid w:val="006C3C4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6C3C46"/>
    <w:rPr>
      <w:rFonts w:cs="Times New Roman"/>
      <w:color w:val="auto"/>
    </w:rPr>
  </w:style>
  <w:style w:type="paragraph" w:customStyle="1" w:styleId="CM3">
    <w:name w:val="CM3"/>
    <w:basedOn w:val="Default"/>
    <w:next w:val="Default"/>
    <w:uiPriority w:val="99"/>
    <w:rsid w:val="006C3C46"/>
    <w:rPr>
      <w:rFonts w:cs="Times New Roman"/>
      <w:color w:val="auto"/>
    </w:rPr>
  </w:style>
  <w:style w:type="character" w:styleId="Komentaronuoroda">
    <w:name w:val="annotation reference"/>
    <w:rsid w:val="008A540C"/>
    <w:rPr>
      <w:sz w:val="16"/>
      <w:szCs w:val="16"/>
    </w:rPr>
  </w:style>
  <w:style w:type="paragraph" w:styleId="Komentarotekstas">
    <w:name w:val="annotation text"/>
    <w:basedOn w:val="prastasis"/>
    <w:link w:val="KomentarotekstasDiagrama"/>
    <w:rsid w:val="008A540C"/>
    <w:rPr>
      <w:sz w:val="20"/>
    </w:rPr>
  </w:style>
  <w:style w:type="character" w:customStyle="1" w:styleId="KomentarotekstasDiagrama">
    <w:name w:val="Komentaro tekstas Diagrama"/>
    <w:basedOn w:val="Numatytasispastraiposriftas"/>
    <w:link w:val="Komentarotekstas"/>
    <w:rsid w:val="008A540C"/>
  </w:style>
  <w:style w:type="paragraph" w:styleId="Komentarotema">
    <w:name w:val="annotation subject"/>
    <w:basedOn w:val="Komentarotekstas"/>
    <w:next w:val="Komentarotekstas"/>
    <w:link w:val="KomentarotemaDiagrama"/>
    <w:rsid w:val="008A540C"/>
    <w:rPr>
      <w:b/>
      <w:bCs/>
      <w:lang w:val="x-none" w:eastAsia="x-none"/>
    </w:rPr>
  </w:style>
  <w:style w:type="character" w:customStyle="1" w:styleId="KomentarotemaDiagrama">
    <w:name w:val="Komentaro tema Diagrama"/>
    <w:link w:val="Komentarotema"/>
    <w:rsid w:val="008A540C"/>
    <w:rPr>
      <w:b/>
      <w:bCs/>
    </w:rPr>
  </w:style>
  <w:style w:type="character" w:customStyle="1" w:styleId="DebesliotekstasDiagrama">
    <w:name w:val="Debesėlio tekstas Diagrama"/>
    <w:basedOn w:val="Numatytasispastraiposriftas"/>
    <w:link w:val="Debesliotekstas"/>
    <w:uiPriority w:val="99"/>
    <w:semiHidden/>
    <w:locked/>
    <w:rsid w:val="00135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022673">
      <w:bodyDiv w:val="1"/>
      <w:marLeft w:val="0"/>
      <w:marRight w:val="0"/>
      <w:marTop w:val="0"/>
      <w:marBottom w:val="0"/>
      <w:divBdr>
        <w:top w:val="none" w:sz="0" w:space="0" w:color="auto"/>
        <w:left w:val="none" w:sz="0" w:space="0" w:color="auto"/>
        <w:bottom w:val="none" w:sz="0" w:space="0" w:color="auto"/>
        <w:right w:val="none" w:sz="0" w:space="0" w:color="auto"/>
      </w:divBdr>
      <w:divsChild>
        <w:div w:id="2104952987">
          <w:marLeft w:val="0"/>
          <w:marRight w:val="0"/>
          <w:marTop w:val="0"/>
          <w:marBottom w:val="0"/>
          <w:divBdr>
            <w:top w:val="none" w:sz="0" w:space="0" w:color="auto"/>
            <w:left w:val="none" w:sz="0" w:space="0" w:color="auto"/>
            <w:bottom w:val="none" w:sz="0" w:space="0" w:color="auto"/>
            <w:right w:val="none" w:sz="0" w:space="0" w:color="auto"/>
          </w:divBdr>
          <w:divsChild>
            <w:div w:id="209731975">
              <w:marLeft w:val="0"/>
              <w:marRight w:val="0"/>
              <w:marTop w:val="0"/>
              <w:marBottom w:val="0"/>
              <w:divBdr>
                <w:top w:val="none" w:sz="0" w:space="0" w:color="auto"/>
                <w:left w:val="none" w:sz="0" w:space="0" w:color="auto"/>
                <w:bottom w:val="none" w:sz="0" w:space="0" w:color="auto"/>
                <w:right w:val="none" w:sz="0" w:space="0" w:color="auto"/>
              </w:divBdr>
            </w:div>
            <w:div w:id="1723478646">
              <w:marLeft w:val="0"/>
              <w:marRight w:val="0"/>
              <w:marTop w:val="0"/>
              <w:marBottom w:val="0"/>
              <w:divBdr>
                <w:top w:val="none" w:sz="0" w:space="0" w:color="auto"/>
                <w:left w:val="none" w:sz="0" w:space="0" w:color="auto"/>
                <w:bottom w:val="none" w:sz="0" w:space="0" w:color="auto"/>
                <w:right w:val="none" w:sz="0" w:space="0" w:color="auto"/>
              </w:divBdr>
            </w:div>
            <w:div w:id="26831338">
              <w:marLeft w:val="0"/>
              <w:marRight w:val="0"/>
              <w:marTop w:val="0"/>
              <w:marBottom w:val="0"/>
              <w:divBdr>
                <w:top w:val="none" w:sz="0" w:space="0" w:color="auto"/>
                <w:left w:val="none" w:sz="0" w:space="0" w:color="auto"/>
                <w:bottom w:val="none" w:sz="0" w:space="0" w:color="auto"/>
                <w:right w:val="none" w:sz="0" w:space="0" w:color="auto"/>
              </w:divBdr>
            </w:div>
            <w:div w:id="1269583154">
              <w:marLeft w:val="0"/>
              <w:marRight w:val="0"/>
              <w:marTop w:val="0"/>
              <w:marBottom w:val="0"/>
              <w:divBdr>
                <w:top w:val="none" w:sz="0" w:space="0" w:color="auto"/>
                <w:left w:val="none" w:sz="0" w:space="0" w:color="auto"/>
                <w:bottom w:val="none" w:sz="0" w:space="0" w:color="auto"/>
                <w:right w:val="none" w:sz="0" w:space="0" w:color="auto"/>
              </w:divBdr>
            </w:div>
            <w:div w:id="5764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1629">
      <w:bodyDiv w:val="1"/>
      <w:marLeft w:val="0"/>
      <w:marRight w:val="0"/>
      <w:marTop w:val="0"/>
      <w:marBottom w:val="0"/>
      <w:divBdr>
        <w:top w:val="none" w:sz="0" w:space="0" w:color="auto"/>
        <w:left w:val="none" w:sz="0" w:space="0" w:color="auto"/>
        <w:bottom w:val="none" w:sz="0" w:space="0" w:color="auto"/>
        <w:right w:val="none" w:sz="0" w:space="0" w:color="auto"/>
      </w:divBdr>
      <w:divsChild>
        <w:div w:id="1440492469">
          <w:marLeft w:val="3"/>
          <w:marRight w:val="3"/>
          <w:marTop w:val="0"/>
          <w:marBottom w:val="0"/>
          <w:divBdr>
            <w:top w:val="single" w:sz="6" w:space="0" w:color="112449"/>
            <w:left w:val="single" w:sz="6" w:space="0" w:color="112449"/>
            <w:bottom w:val="single" w:sz="6" w:space="0" w:color="112449"/>
            <w:right w:val="single" w:sz="6" w:space="0" w:color="112449"/>
          </w:divBdr>
          <w:divsChild>
            <w:div w:id="124368092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09B6-77F8-4994-80BA-978B4630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3790</Words>
  <Characters>2161</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pozicijos Europos Sąjungos institucijose nagrinėjamais klausimais rengimo, derinimo, pristatymo ir Europo</vt:lpstr>
      <vt:lpstr>Lietuvos Respublikos pozicijos Europos Sąjungos institucijose nagrinėjamais klausimais rengimo, derinimo, pristatymo ir Europo</vt:lpstr>
    </vt:vector>
  </TitlesOfParts>
  <Company>NVTAT</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2021-04-27T12:13:00Z</dcterms:created>
  <dc:creator>Girma</dc:creator>
  <cp:lastModifiedBy>Evaldas Bacevičius</cp:lastModifiedBy>
  <cp:lastPrinted>2005-11-23T07:04:00Z</cp:lastPrinted>
  <dcterms:modified xsi:type="dcterms:W3CDTF">2021-08-03T10:06:00Z</dcterms:modified>
  <cp:revision>19</cp:revision>
  <dc:title>Lietuvos Respublikos pozicijos Europos Sąjungos institucijose nagrinėjamais klausimais rengimo, derinimo, pristatymo ir Europo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