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2" w:type="dxa"/>
        <w:tblLayout w:type="fixed"/>
        <w:tblLook w:val="00A0" w:firstRow="1" w:lastRow="0" w:firstColumn="1" w:lastColumn="0" w:noHBand="0" w:noVBand="0"/>
      </w:tblPr>
      <w:tblGrid>
        <w:gridCol w:w="3828"/>
        <w:gridCol w:w="283"/>
        <w:gridCol w:w="5387"/>
      </w:tblGrid>
      <w:tr w:rsidR="009F20B2" w:rsidRPr="002F497F" w14:paraId="56A11BDE" w14:textId="77777777" w:rsidTr="00F6131B">
        <w:trPr>
          <w:trHeight w:hRule="exact" w:val="1055"/>
        </w:trPr>
        <w:tc>
          <w:tcPr>
            <w:tcW w:w="9498" w:type="dxa"/>
            <w:gridSpan w:val="3"/>
          </w:tcPr>
          <w:p w14:paraId="07154913" w14:textId="77777777" w:rsidR="009F20B2" w:rsidRPr="002F497F" w:rsidRDefault="009F20B2" w:rsidP="001B48B8">
            <w:pPr>
              <w:spacing w:after="360"/>
              <w:ind w:firstLine="720"/>
              <w:jc w:val="center"/>
              <w:rPr>
                <w:color w:val="000000"/>
                <w:lang w:val="lt-LT"/>
              </w:rPr>
            </w:pPr>
            <w:bookmarkStart w:id="0" w:name="_Hlk86057962"/>
            <w:bookmarkEnd w:id="0"/>
            <w:r w:rsidRPr="002F497F">
              <w:rPr>
                <w:noProof/>
                <w:lang w:val="lt-LT" w:eastAsia="lt-LT"/>
              </w:rPr>
              <w:drawing>
                <wp:inline distT="0" distB="0" distL="0" distR="0" wp14:anchorId="221DD281" wp14:editId="6D21599B">
                  <wp:extent cx="504825" cy="571500"/>
                  <wp:effectExtent l="0" t="0" r="9525" b="0"/>
                  <wp:docPr id="2" name="Picture 1" descr="herbas-L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L_spalvo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tc>
      </w:tr>
      <w:tr w:rsidR="009F20B2" w:rsidRPr="002F497F" w14:paraId="099536F6" w14:textId="77777777" w:rsidTr="00F6131B">
        <w:trPr>
          <w:trHeight w:hRule="exact" w:val="930"/>
        </w:trPr>
        <w:tc>
          <w:tcPr>
            <w:tcW w:w="9498" w:type="dxa"/>
            <w:gridSpan w:val="3"/>
          </w:tcPr>
          <w:p w14:paraId="7DB6F5CD" w14:textId="77777777" w:rsidR="009F20B2" w:rsidRPr="002F497F" w:rsidRDefault="009F20B2" w:rsidP="00F54867">
            <w:pPr>
              <w:pStyle w:val="Antrat1"/>
              <w:rPr>
                <w:color w:val="000000"/>
                <w:szCs w:val="24"/>
              </w:rPr>
            </w:pPr>
            <w:r w:rsidRPr="002F497F">
              <w:rPr>
                <w:szCs w:val="24"/>
              </w:rPr>
              <w:t xml:space="preserve">      LIETUVOS BANKAS</w:t>
            </w:r>
          </w:p>
          <w:p w14:paraId="6F00B7B9" w14:textId="77777777" w:rsidR="009F20B2" w:rsidRPr="002F497F" w:rsidRDefault="009F20B2" w:rsidP="001B48B8">
            <w:pPr>
              <w:spacing w:before="120"/>
              <w:jc w:val="center"/>
              <w:rPr>
                <w:b/>
                <w:vanish/>
                <w:color w:val="000000"/>
                <w:sz w:val="24"/>
                <w:szCs w:val="24"/>
                <w:lang w:val="lt-LT"/>
              </w:rPr>
            </w:pPr>
          </w:p>
        </w:tc>
      </w:tr>
      <w:tr w:rsidR="009F20B2" w:rsidRPr="002F497F" w14:paraId="50602878" w14:textId="77777777" w:rsidTr="00F61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14:paraId="3C6A2D7F" w14:textId="77777777" w:rsidR="009F20B2" w:rsidRPr="002F497F" w:rsidRDefault="009F20B2" w:rsidP="001B48B8">
            <w:pPr>
              <w:rPr>
                <w:b/>
                <w:bCs/>
                <w:lang w:val="lt-LT"/>
              </w:rPr>
            </w:pPr>
          </w:p>
        </w:tc>
      </w:tr>
      <w:tr w:rsidR="009F20B2" w:rsidRPr="002F497F" w14:paraId="3E46EE66" w14:textId="77777777" w:rsidTr="00F61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828" w:type="dxa"/>
            <w:tcBorders>
              <w:top w:val="nil"/>
              <w:left w:val="nil"/>
              <w:bottom w:val="nil"/>
              <w:right w:val="nil"/>
            </w:tcBorders>
          </w:tcPr>
          <w:p w14:paraId="13FD5A70" w14:textId="4E4CA72E" w:rsidR="009F20B2" w:rsidRPr="002F497F" w:rsidRDefault="009F20B2" w:rsidP="001B48B8">
            <w:pPr>
              <w:rPr>
                <w:lang w:val="lt-LT"/>
              </w:rPr>
            </w:pPr>
            <w:r w:rsidRPr="002F497F">
              <w:rPr>
                <w:lang w:val="lt-LT"/>
              </w:rPr>
              <w:t xml:space="preserve">Lietuvos Respublikos </w:t>
            </w:r>
            <w:r w:rsidR="00CB2B36" w:rsidRPr="002F497F">
              <w:rPr>
                <w:lang w:val="lt-LT"/>
              </w:rPr>
              <w:t>f</w:t>
            </w:r>
            <w:r w:rsidR="009B47EF" w:rsidRPr="002F497F">
              <w:rPr>
                <w:lang w:val="lt-LT"/>
              </w:rPr>
              <w:t>inansų</w:t>
            </w:r>
            <w:r w:rsidRPr="002F497F">
              <w:rPr>
                <w:lang w:val="lt-LT"/>
              </w:rPr>
              <w:t xml:space="preserve"> ministerijai</w:t>
            </w:r>
          </w:p>
        </w:tc>
        <w:tc>
          <w:tcPr>
            <w:tcW w:w="283" w:type="dxa"/>
            <w:tcBorders>
              <w:top w:val="nil"/>
              <w:left w:val="nil"/>
              <w:bottom w:val="nil"/>
              <w:right w:val="nil"/>
            </w:tcBorders>
          </w:tcPr>
          <w:p w14:paraId="7983422A" w14:textId="77777777" w:rsidR="009F20B2" w:rsidRPr="002F497F" w:rsidRDefault="009F20B2" w:rsidP="00F54867">
            <w:pPr>
              <w:pStyle w:val="Antrat2"/>
              <w:rPr>
                <w:sz w:val="20"/>
              </w:rPr>
            </w:pPr>
          </w:p>
          <w:p w14:paraId="3B8E5066" w14:textId="77777777" w:rsidR="009F20B2" w:rsidRPr="002F497F" w:rsidRDefault="009F20B2" w:rsidP="00F54867">
            <w:pPr>
              <w:pStyle w:val="Antrat2"/>
              <w:rPr>
                <w:sz w:val="20"/>
              </w:rPr>
            </w:pPr>
            <w:r w:rsidRPr="002F497F">
              <w:rPr>
                <w:sz w:val="20"/>
              </w:rPr>
              <w:t>Į</w:t>
            </w:r>
          </w:p>
        </w:tc>
        <w:tc>
          <w:tcPr>
            <w:tcW w:w="5387" w:type="dxa"/>
            <w:tcBorders>
              <w:top w:val="nil"/>
              <w:left w:val="nil"/>
              <w:bottom w:val="nil"/>
              <w:right w:val="nil"/>
            </w:tcBorders>
          </w:tcPr>
          <w:p w14:paraId="5DAF3EBB" w14:textId="77777777" w:rsidR="009F20B2" w:rsidRPr="002F497F" w:rsidRDefault="009F20B2" w:rsidP="001B48B8">
            <w:pPr>
              <w:rPr>
                <w:lang w:val="lt-LT"/>
              </w:rPr>
            </w:pPr>
            <w:r w:rsidRPr="002F497F">
              <w:rPr>
                <w:lang w:val="lt-LT"/>
              </w:rPr>
              <w:fldChar w:fldCharType="begin"/>
            </w:r>
            <w:r w:rsidRPr="002F497F">
              <w:rPr>
                <w:lang w:val="lt-LT"/>
              </w:rPr>
              <w:instrText xml:space="preserve"> DOCPROPERTY  "dok_data" </w:instrText>
            </w:r>
            <w:r w:rsidRPr="002F497F">
              <w:rPr>
                <w:lang w:val="lt-LT"/>
              </w:rPr>
              <w:fldChar w:fldCharType="separate"/>
            </w:r>
            <w:r w:rsidRPr="002F497F">
              <w:rPr>
                <w:lang w:val="lt-LT"/>
              </w:rPr>
              <w:t>    </w:t>
            </w:r>
            <w:r w:rsidRPr="002F497F">
              <w:rPr>
                <w:lang w:val="lt-LT"/>
              </w:rPr>
              <w:fldChar w:fldCharType="end"/>
            </w:r>
            <w:r w:rsidRPr="002F497F">
              <w:rPr>
                <w:lang w:val="lt-LT"/>
              </w:rPr>
              <w:t xml:space="preserve"> Nr. </w:t>
            </w:r>
            <w:r w:rsidRPr="002F497F">
              <w:rPr>
                <w:lang w:val="lt-LT"/>
              </w:rPr>
              <w:fldChar w:fldCharType="begin"/>
            </w:r>
            <w:r w:rsidRPr="002F497F">
              <w:rPr>
                <w:lang w:val="lt-LT"/>
              </w:rPr>
              <w:instrText xml:space="preserve"> DOCPROPERTY  "reg_nr" </w:instrText>
            </w:r>
            <w:r w:rsidRPr="002F497F">
              <w:rPr>
                <w:lang w:val="lt-LT"/>
              </w:rPr>
              <w:fldChar w:fldCharType="separate"/>
            </w:r>
            <w:r w:rsidRPr="002F497F">
              <w:rPr>
                <w:lang w:val="lt-LT"/>
              </w:rPr>
              <w:t>    </w:t>
            </w:r>
            <w:r w:rsidRPr="002F497F">
              <w:rPr>
                <w:lang w:val="lt-LT"/>
              </w:rPr>
              <w:fldChar w:fldCharType="end"/>
            </w:r>
          </w:p>
          <w:p w14:paraId="2706786E" w14:textId="07CB9649" w:rsidR="009F20B2" w:rsidRPr="002F497F" w:rsidRDefault="009B47EF" w:rsidP="001B48B8">
            <w:pPr>
              <w:rPr>
                <w:lang w:val="lt-LT"/>
              </w:rPr>
            </w:pPr>
            <w:r w:rsidRPr="002F497F">
              <w:rPr>
                <w:lang w:val="lt-LT"/>
              </w:rPr>
              <w:t>2021-10-1</w:t>
            </w:r>
            <w:r w:rsidR="00FA5A44" w:rsidRPr="002F497F">
              <w:rPr>
                <w:lang w:val="lt-LT"/>
              </w:rPr>
              <w:t>2</w:t>
            </w:r>
            <w:r w:rsidRPr="002F497F">
              <w:rPr>
                <w:lang w:val="lt-LT"/>
              </w:rPr>
              <w:t xml:space="preserve"> </w:t>
            </w:r>
            <w:r w:rsidR="007B3DED" w:rsidRPr="002F497F">
              <w:rPr>
                <w:lang w:val="lt-LT"/>
              </w:rPr>
              <w:t xml:space="preserve">    </w:t>
            </w:r>
            <w:r w:rsidR="0091152C" w:rsidRPr="002F497F">
              <w:rPr>
                <w:lang w:val="lt-LT"/>
              </w:rPr>
              <w:t xml:space="preserve">    </w:t>
            </w:r>
            <w:r w:rsidR="009F20B2" w:rsidRPr="002F497F">
              <w:rPr>
                <w:lang w:val="lt-LT"/>
              </w:rPr>
              <w:t xml:space="preserve">Nr. </w:t>
            </w:r>
            <w:r w:rsidR="0091152C" w:rsidRPr="002F497F">
              <w:rPr>
                <w:lang w:val="lt-LT"/>
              </w:rPr>
              <w:t>21-30921</w:t>
            </w:r>
          </w:p>
        </w:tc>
      </w:tr>
      <w:tr w:rsidR="009F20B2" w:rsidRPr="002F497F" w14:paraId="783BEAF4" w14:textId="77777777" w:rsidTr="00F61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14:paraId="4234A21C" w14:textId="77777777" w:rsidR="009F20B2" w:rsidRPr="002F497F" w:rsidRDefault="009F20B2" w:rsidP="001B48B8">
            <w:pPr>
              <w:rPr>
                <w:b/>
                <w:bCs/>
                <w:lang w:val="lt-LT"/>
              </w:rPr>
            </w:pPr>
          </w:p>
        </w:tc>
      </w:tr>
      <w:tr w:rsidR="009F20B2" w:rsidRPr="002F497F" w14:paraId="0D30BF0B" w14:textId="77777777" w:rsidTr="00F61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14:paraId="2DB18A3A" w14:textId="77777777" w:rsidR="009F20B2" w:rsidRPr="002F497F" w:rsidRDefault="009F20B2" w:rsidP="001B48B8">
            <w:pPr>
              <w:rPr>
                <w:b/>
                <w:lang w:val="lt-LT"/>
              </w:rPr>
            </w:pPr>
            <w:r w:rsidRPr="002F497F">
              <w:rPr>
                <w:b/>
                <w:lang w:val="lt-LT"/>
              </w:rPr>
              <w:t xml:space="preserve">LIETUVOS BANKO POZICIJA </w:t>
            </w:r>
          </w:p>
          <w:p w14:paraId="0F10A904" w14:textId="31578AF0" w:rsidR="009F20B2" w:rsidRPr="002F497F" w:rsidRDefault="009F20B2" w:rsidP="001B48B8">
            <w:pPr>
              <w:rPr>
                <w:b/>
                <w:lang w:val="lt-LT"/>
              </w:rPr>
            </w:pPr>
            <w:r w:rsidRPr="002F497F">
              <w:rPr>
                <w:b/>
                <w:lang w:val="lt-LT"/>
              </w:rPr>
              <w:t xml:space="preserve">DĖL </w:t>
            </w:r>
            <w:r w:rsidR="009B47EF" w:rsidRPr="002F497F">
              <w:rPr>
                <w:b/>
                <w:lang w:val="lt-LT"/>
              </w:rPr>
              <w:t>AKCIZŲ ĮSTATYMO PAKEITIMO ĮSTATYMO PROJEKTO</w:t>
            </w:r>
          </w:p>
        </w:tc>
      </w:tr>
    </w:tbl>
    <w:p w14:paraId="0DB2BDC3" w14:textId="480D0570" w:rsidR="00AC7F76" w:rsidRPr="002F497F" w:rsidRDefault="00AC7F76">
      <w:pPr>
        <w:rPr>
          <w:lang w:val="lt-LT"/>
        </w:rPr>
      </w:pPr>
    </w:p>
    <w:p w14:paraId="68B144D1" w14:textId="77777777" w:rsidR="00F6131B" w:rsidRPr="002F497F" w:rsidRDefault="00F6131B" w:rsidP="00560536">
      <w:pPr>
        <w:jc w:val="both"/>
        <w:rPr>
          <w:lang w:val="lt-LT"/>
        </w:rPr>
      </w:pPr>
    </w:p>
    <w:p w14:paraId="1A97AE79" w14:textId="0D3DB265" w:rsidR="00560536" w:rsidRPr="002F497F" w:rsidRDefault="00560536" w:rsidP="00A667E3">
      <w:pPr>
        <w:spacing w:after="240"/>
        <w:ind w:firstLine="709"/>
        <w:jc w:val="both"/>
        <w:rPr>
          <w:lang w:val="lt-LT"/>
        </w:rPr>
      </w:pPr>
      <w:r w:rsidRPr="002F497F">
        <w:rPr>
          <w:lang w:val="lt-LT"/>
        </w:rPr>
        <w:t xml:space="preserve">Atsakydami į Jūsų </w:t>
      </w:r>
      <w:r w:rsidR="00A667E3" w:rsidRPr="002F497F">
        <w:rPr>
          <w:lang w:val="lt-LT"/>
        </w:rPr>
        <w:t xml:space="preserve">raštą dėl </w:t>
      </w:r>
      <w:r w:rsidR="00B07A51" w:rsidRPr="002F497F">
        <w:rPr>
          <w:lang w:val="lt-LT"/>
        </w:rPr>
        <w:t>pateikt</w:t>
      </w:r>
      <w:r w:rsidR="00A667E3" w:rsidRPr="002F497F">
        <w:rPr>
          <w:lang w:val="lt-LT"/>
        </w:rPr>
        <w:t>o</w:t>
      </w:r>
      <w:r w:rsidR="00B07A51" w:rsidRPr="002F497F">
        <w:rPr>
          <w:lang w:val="lt-LT"/>
        </w:rPr>
        <w:t xml:space="preserve"> </w:t>
      </w:r>
      <w:r w:rsidR="00F613D2" w:rsidRPr="002F497F">
        <w:rPr>
          <w:lang w:val="lt-LT"/>
        </w:rPr>
        <w:t>teisės akto projekt</w:t>
      </w:r>
      <w:r w:rsidR="00A667E3" w:rsidRPr="002F497F">
        <w:rPr>
          <w:lang w:val="lt-LT"/>
        </w:rPr>
        <w:t>o</w:t>
      </w:r>
      <w:r w:rsidRPr="002F497F">
        <w:rPr>
          <w:lang w:val="lt-LT"/>
        </w:rPr>
        <w:t>, šiuo laišku norime detaliau paaiškinti Lietuvos banko poziciją ir pateikti ją pagrindžiančius argumentus.</w:t>
      </w:r>
    </w:p>
    <w:p w14:paraId="0B1C31B9" w14:textId="12F179E0" w:rsidR="00BF0C27" w:rsidRPr="002F497F" w:rsidRDefault="00DE5361" w:rsidP="00A667E3">
      <w:pPr>
        <w:spacing w:after="240"/>
        <w:ind w:firstLine="709"/>
        <w:jc w:val="both"/>
        <w:rPr>
          <w:lang w:val="lt-LT"/>
        </w:rPr>
      </w:pPr>
      <w:r w:rsidRPr="002F497F">
        <w:rPr>
          <w:lang w:val="lt-LT"/>
        </w:rPr>
        <w:t>I</w:t>
      </w:r>
      <w:r w:rsidR="007B5F4C" w:rsidRPr="002F497F">
        <w:rPr>
          <w:lang w:val="lt-LT"/>
        </w:rPr>
        <w:t>šnagrinėję pateiktus siūlymus, mano</w:t>
      </w:r>
      <w:r w:rsidRPr="002F497F">
        <w:rPr>
          <w:lang w:val="lt-LT"/>
        </w:rPr>
        <w:t>me</w:t>
      </w:r>
      <w:r w:rsidR="007B5F4C" w:rsidRPr="002F497F">
        <w:rPr>
          <w:lang w:val="lt-LT"/>
        </w:rPr>
        <w:t xml:space="preserve">, </w:t>
      </w:r>
      <w:r w:rsidRPr="002F497F">
        <w:rPr>
          <w:lang w:val="lt-LT"/>
        </w:rPr>
        <w:t>kad</w:t>
      </w:r>
      <w:r w:rsidR="007B5F4C" w:rsidRPr="002F497F">
        <w:rPr>
          <w:lang w:val="lt-LT"/>
        </w:rPr>
        <w:t xml:space="preserve"> </w:t>
      </w:r>
      <w:r w:rsidRPr="002F497F">
        <w:rPr>
          <w:lang w:val="lt-LT"/>
        </w:rPr>
        <w:t xml:space="preserve">siekiant teisingesnės mokesčių sistemos ir klimato kaitos švelninimo tikslų </w:t>
      </w:r>
      <w:r w:rsidR="00C27885" w:rsidRPr="002F497F">
        <w:rPr>
          <w:lang w:val="lt-LT"/>
        </w:rPr>
        <w:t xml:space="preserve">iš esmės </w:t>
      </w:r>
      <w:r w:rsidRPr="002F497F">
        <w:rPr>
          <w:lang w:val="lt-LT"/>
        </w:rPr>
        <w:t>pasirinktos tinkamos priemonės</w:t>
      </w:r>
      <w:r w:rsidR="007B5F4C" w:rsidRPr="002F497F">
        <w:rPr>
          <w:lang w:val="lt-LT"/>
        </w:rPr>
        <w:t xml:space="preserve">. Vis dėlto kyla abejonių, </w:t>
      </w:r>
      <w:r w:rsidR="00857CAB" w:rsidRPr="002F497F">
        <w:rPr>
          <w:lang w:val="lt-LT"/>
        </w:rPr>
        <w:t>ar</w:t>
      </w:r>
      <w:r w:rsidR="007B5F4C" w:rsidRPr="002F497F">
        <w:rPr>
          <w:lang w:val="lt-LT"/>
        </w:rPr>
        <w:t xml:space="preserve"> numatytomis priemonė</w:t>
      </w:r>
      <w:r w:rsidR="00832E7C" w:rsidRPr="002F497F">
        <w:rPr>
          <w:lang w:val="lt-LT"/>
        </w:rPr>
        <w:t>mi</w:t>
      </w:r>
      <w:r w:rsidR="007B5F4C" w:rsidRPr="002F497F">
        <w:rPr>
          <w:lang w:val="lt-LT"/>
        </w:rPr>
        <w:t xml:space="preserve">s </w:t>
      </w:r>
      <w:r w:rsidRPr="002F497F">
        <w:rPr>
          <w:lang w:val="lt-LT"/>
        </w:rPr>
        <w:t xml:space="preserve">keliamus tikslus </w:t>
      </w:r>
      <w:r w:rsidR="007B5F4C" w:rsidRPr="002F497F">
        <w:rPr>
          <w:lang w:val="lt-LT"/>
        </w:rPr>
        <w:t xml:space="preserve">pavyks </w:t>
      </w:r>
      <w:r w:rsidRPr="002F497F">
        <w:rPr>
          <w:lang w:val="lt-LT"/>
        </w:rPr>
        <w:t>pasiekti visa apimtimi. Abejo</w:t>
      </w:r>
      <w:r w:rsidR="000028E9" w:rsidRPr="002F497F">
        <w:rPr>
          <w:lang w:val="lt-LT"/>
        </w:rPr>
        <w:t>nių kyla dėl</w:t>
      </w:r>
      <w:r w:rsidR="00CB2B36" w:rsidRPr="002F497F">
        <w:rPr>
          <w:lang w:val="lt-LT"/>
        </w:rPr>
        <w:t xml:space="preserve"> </w:t>
      </w:r>
      <w:r w:rsidR="000028E9" w:rsidRPr="002F497F">
        <w:rPr>
          <w:lang w:val="lt-LT"/>
        </w:rPr>
        <w:t>to, kad nėra visiškai aiškūs</w:t>
      </w:r>
      <w:r w:rsidRPr="002F497F">
        <w:rPr>
          <w:lang w:val="lt-LT"/>
        </w:rPr>
        <w:t xml:space="preserve"> priemonių pasirinkim</w:t>
      </w:r>
      <w:r w:rsidR="000028E9" w:rsidRPr="002F497F">
        <w:rPr>
          <w:lang w:val="lt-LT"/>
        </w:rPr>
        <w:t>o</w:t>
      </w:r>
      <w:r w:rsidR="00576926" w:rsidRPr="002F497F">
        <w:rPr>
          <w:lang w:val="lt-LT"/>
        </w:rPr>
        <w:t xml:space="preserve"> </w:t>
      </w:r>
      <w:r w:rsidR="008E757F" w:rsidRPr="002F497F">
        <w:rPr>
          <w:lang w:val="lt-LT"/>
        </w:rPr>
        <w:t>motyvai</w:t>
      </w:r>
      <w:r w:rsidRPr="002F497F">
        <w:rPr>
          <w:lang w:val="lt-LT"/>
        </w:rPr>
        <w:t xml:space="preserve"> ir</w:t>
      </w:r>
      <w:r w:rsidR="008E757F" w:rsidRPr="002F497F">
        <w:rPr>
          <w:lang w:val="lt-LT"/>
        </w:rPr>
        <w:t xml:space="preserve"> tikėtinas šių priemonių</w:t>
      </w:r>
      <w:r w:rsidRPr="002F497F">
        <w:rPr>
          <w:lang w:val="lt-LT"/>
        </w:rPr>
        <w:t xml:space="preserve"> poveik</w:t>
      </w:r>
      <w:r w:rsidR="008E757F" w:rsidRPr="002F497F">
        <w:rPr>
          <w:lang w:val="lt-LT"/>
        </w:rPr>
        <w:t>is ekonomikai bei ūkio subjektų elgsenai. Taip pat nėra lengva suprasti argumentus, kuriais remiantis siūloma</w:t>
      </w:r>
      <w:r w:rsidR="00C27885" w:rsidRPr="002F497F">
        <w:rPr>
          <w:lang w:val="lt-LT"/>
        </w:rPr>
        <w:t xml:space="preserve"> kai kuriems energiniams produktams ir toliau palikti galioti esamas mokestines lengvatas.</w:t>
      </w:r>
      <w:r w:rsidR="009C6792" w:rsidRPr="002F497F">
        <w:rPr>
          <w:lang w:val="lt-LT"/>
        </w:rPr>
        <w:t xml:space="preserve"> </w:t>
      </w:r>
    </w:p>
    <w:p w14:paraId="6F9E44EF" w14:textId="74C9D5B0" w:rsidR="000C1FFC" w:rsidRPr="002F497F" w:rsidRDefault="008E757F" w:rsidP="00A667E3">
      <w:pPr>
        <w:spacing w:after="240"/>
        <w:ind w:firstLine="709"/>
        <w:jc w:val="both"/>
        <w:rPr>
          <w:lang w:val="lt-LT"/>
        </w:rPr>
      </w:pPr>
      <w:r w:rsidRPr="002F497F">
        <w:rPr>
          <w:b/>
          <w:bCs/>
          <w:lang w:val="lt-LT"/>
        </w:rPr>
        <w:t>Remiantis ekonominių tyrimų rezultatais, a</w:t>
      </w:r>
      <w:r w:rsidR="007F7B65" w:rsidRPr="002F497F">
        <w:rPr>
          <w:b/>
          <w:bCs/>
          <w:lang w:val="lt-LT"/>
        </w:rPr>
        <w:t>nglies apmokestinimas yra laikomas efektyviausia priemone siekiant klimato kaitos tikslų</w:t>
      </w:r>
      <w:r w:rsidR="007F7B65" w:rsidRPr="002F497F">
        <w:rPr>
          <w:rStyle w:val="Puslapioinaosnuoroda"/>
          <w:b/>
          <w:bCs/>
          <w:lang w:val="lt-LT"/>
        </w:rPr>
        <w:footnoteReference w:id="2"/>
      </w:r>
      <w:r w:rsidR="007F7B65" w:rsidRPr="002F497F">
        <w:rPr>
          <w:b/>
          <w:bCs/>
          <w:lang w:val="lt-LT"/>
        </w:rPr>
        <w:t xml:space="preserve">. </w:t>
      </w:r>
      <w:r w:rsidR="00464EF4" w:rsidRPr="002F497F">
        <w:rPr>
          <w:lang w:val="lt-LT"/>
        </w:rPr>
        <w:t>Vis dėlto, didinant esamus ar įvedant naujus mokesčius, svarbu užtikrinti, kad šalyje nedidėtų pajamų nelygybė. Kitų institucijų tyrimai rodo, kad aplinkos mokesčiai gali padidinti pajamų nelygybę, jei nėra taikomi tinkami aplinkos mokesčių pajamų perskirstymo mechanizmai</w:t>
      </w:r>
      <w:r w:rsidR="006F7C86" w:rsidRPr="002F497F">
        <w:rPr>
          <w:rStyle w:val="Puslapioinaosnuoroda"/>
          <w:lang w:val="lt-LT"/>
        </w:rPr>
        <w:footnoteReference w:id="3"/>
      </w:r>
      <w:r w:rsidR="00464EF4" w:rsidRPr="002F497F">
        <w:rPr>
          <w:lang w:val="lt-LT"/>
        </w:rPr>
        <w:t xml:space="preserve">. </w:t>
      </w:r>
      <w:r w:rsidR="006F7C86" w:rsidRPr="002F497F">
        <w:rPr>
          <w:lang w:val="lt-LT"/>
        </w:rPr>
        <w:t xml:space="preserve">Kadangi įstatymo projekte nėra nurodoma, kur bus nukreiptos </w:t>
      </w:r>
      <w:r w:rsidR="00EE3A2F" w:rsidRPr="002F497F">
        <w:rPr>
          <w:lang w:val="lt-LT"/>
        </w:rPr>
        <w:t xml:space="preserve">surinktos papildomos </w:t>
      </w:r>
      <w:r w:rsidR="006F7C86" w:rsidRPr="002F497F">
        <w:rPr>
          <w:lang w:val="lt-LT"/>
        </w:rPr>
        <w:t xml:space="preserve">mokestinės pajamos (ar </w:t>
      </w:r>
      <w:r w:rsidRPr="002F497F">
        <w:rPr>
          <w:lang w:val="lt-LT"/>
        </w:rPr>
        <w:t xml:space="preserve">bendriesiems </w:t>
      </w:r>
      <w:r w:rsidR="006F7C86" w:rsidRPr="002F497F">
        <w:rPr>
          <w:lang w:val="lt-LT"/>
        </w:rPr>
        <w:t>poreikiams</w:t>
      </w:r>
      <w:r w:rsidR="00BC247A" w:rsidRPr="002F497F">
        <w:rPr>
          <w:lang w:val="lt-LT"/>
        </w:rPr>
        <w:t xml:space="preserve"> tenkinti</w:t>
      </w:r>
      <w:r w:rsidR="006F7C86" w:rsidRPr="002F497F">
        <w:rPr>
          <w:lang w:val="lt-LT"/>
        </w:rPr>
        <w:t xml:space="preserve">, ar kitiems mokesčiams mažinti, ar </w:t>
      </w:r>
      <w:r w:rsidR="00BC247A" w:rsidRPr="002F497F">
        <w:rPr>
          <w:lang w:val="lt-LT"/>
        </w:rPr>
        <w:t>kompensaciniams mechanizma</w:t>
      </w:r>
      <w:r w:rsidRPr="002F497F">
        <w:rPr>
          <w:lang w:val="lt-LT"/>
        </w:rPr>
        <w:t>m</w:t>
      </w:r>
      <w:r w:rsidR="00BC247A" w:rsidRPr="002F497F">
        <w:rPr>
          <w:lang w:val="lt-LT"/>
        </w:rPr>
        <w:t>s</w:t>
      </w:r>
      <w:r w:rsidRPr="002F497F">
        <w:rPr>
          <w:lang w:val="lt-LT"/>
        </w:rPr>
        <w:t xml:space="preserve"> finansuoti</w:t>
      </w:r>
      <w:r w:rsidR="00BC247A" w:rsidRPr="002F497F">
        <w:rPr>
          <w:lang w:val="lt-LT"/>
        </w:rPr>
        <w:t xml:space="preserve">), </w:t>
      </w:r>
      <w:r w:rsidR="00785DE0" w:rsidRPr="002F497F">
        <w:rPr>
          <w:lang w:val="lt-LT"/>
        </w:rPr>
        <w:t xml:space="preserve">yra </w:t>
      </w:r>
      <w:r w:rsidR="00BC247A" w:rsidRPr="002F497F">
        <w:rPr>
          <w:lang w:val="lt-LT"/>
        </w:rPr>
        <w:t>rizik</w:t>
      </w:r>
      <w:r w:rsidR="00785DE0" w:rsidRPr="002F497F">
        <w:rPr>
          <w:lang w:val="lt-LT"/>
        </w:rPr>
        <w:t>os</w:t>
      </w:r>
      <w:r w:rsidR="00BC247A" w:rsidRPr="002F497F">
        <w:rPr>
          <w:lang w:val="lt-LT"/>
        </w:rPr>
        <w:t xml:space="preserve">, kad dėl numatomų mokestinių pakeitimų pajamų nelygybė </w:t>
      </w:r>
      <w:r w:rsidRPr="002F497F">
        <w:rPr>
          <w:lang w:val="lt-LT"/>
        </w:rPr>
        <w:t>Lietuvoje</w:t>
      </w:r>
      <w:r w:rsidR="00BC247A" w:rsidRPr="002F497F">
        <w:rPr>
          <w:lang w:val="lt-LT"/>
        </w:rPr>
        <w:t xml:space="preserve"> gali </w:t>
      </w:r>
      <w:r w:rsidRPr="002F497F">
        <w:rPr>
          <w:lang w:val="lt-LT"/>
        </w:rPr>
        <w:t>pa</w:t>
      </w:r>
      <w:r w:rsidR="00BC247A" w:rsidRPr="002F497F">
        <w:rPr>
          <w:lang w:val="lt-LT"/>
        </w:rPr>
        <w:t xml:space="preserve">didėti. Tad prieš priimant </w:t>
      </w:r>
      <w:r w:rsidR="00785DE0" w:rsidRPr="002F497F">
        <w:rPr>
          <w:lang w:val="lt-LT"/>
        </w:rPr>
        <w:t xml:space="preserve">galutinį </w:t>
      </w:r>
      <w:r w:rsidR="00BC247A" w:rsidRPr="002F497F">
        <w:rPr>
          <w:lang w:val="lt-LT"/>
        </w:rPr>
        <w:t xml:space="preserve">sprendimą dėl </w:t>
      </w:r>
      <w:r w:rsidR="00785DE0" w:rsidRPr="002F497F">
        <w:rPr>
          <w:lang w:val="lt-LT"/>
        </w:rPr>
        <w:t>klimato kaitai sušvelninti skirtų priemonių</w:t>
      </w:r>
      <w:r w:rsidR="00137E25" w:rsidRPr="002F497F">
        <w:rPr>
          <w:lang w:val="lt-LT"/>
        </w:rPr>
        <w:t>,</w:t>
      </w:r>
      <w:r w:rsidR="00BC247A" w:rsidRPr="002F497F">
        <w:rPr>
          <w:lang w:val="lt-LT"/>
        </w:rPr>
        <w:t xml:space="preserve"> siūlome atsižvelgti į galimą </w:t>
      </w:r>
      <w:r w:rsidR="00785DE0" w:rsidRPr="002F497F">
        <w:rPr>
          <w:lang w:val="lt-LT"/>
        </w:rPr>
        <w:t xml:space="preserve">tokių priemonių </w:t>
      </w:r>
      <w:r w:rsidR="00BC247A" w:rsidRPr="002F497F">
        <w:rPr>
          <w:lang w:val="lt-LT"/>
        </w:rPr>
        <w:t>įtaką pajamų nelygybei</w:t>
      </w:r>
      <w:r w:rsidR="001A56C9" w:rsidRPr="002F497F">
        <w:rPr>
          <w:rStyle w:val="Puslapioinaosnuoroda"/>
          <w:lang w:val="lt-LT"/>
        </w:rPr>
        <w:footnoteReference w:id="4"/>
      </w:r>
      <w:r w:rsidR="0075703F" w:rsidRPr="002F497F">
        <w:rPr>
          <w:lang w:val="lt-LT"/>
        </w:rPr>
        <w:t>.</w:t>
      </w:r>
    </w:p>
    <w:p w14:paraId="1BE5AF5A" w14:textId="1CFF1D84" w:rsidR="0061682B" w:rsidRPr="002F497F" w:rsidRDefault="007716FF" w:rsidP="00391BB2">
      <w:pPr>
        <w:spacing w:after="240"/>
        <w:ind w:firstLine="709"/>
        <w:jc w:val="both"/>
        <w:rPr>
          <w:lang w:val="lt-LT"/>
        </w:rPr>
      </w:pPr>
      <w:bookmarkStart w:id="1" w:name="_Hlk86001521"/>
      <w:r w:rsidRPr="002F497F">
        <w:rPr>
          <w:b/>
          <w:bCs/>
          <w:lang w:val="lt-LT"/>
        </w:rPr>
        <w:t xml:space="preserve">Siekiant klimato kaitos </w:t>
      </w:r>
      <w:r w:rsidR="00F3276A" w:rsidRPr="002F497F">
        <w:rPr>
          <w:b/>
          <w:bCs/>
          <w:lang w:val="lt-LT"/>
        </w:rPr>
        <w:t>švelninimo</w:t>
      </w:r>
      <w:r w:rsidRPr="002F497F">
        <w:rPr>
          <w:b/>
          <w:bCs/>
          <w:lang w:val="lt-LT"/>
        </w:rPr>
        <w:t xml:space="preserve"> tikslų</w:t>
      </w:r>
      <w:r w:rsidR="000F1749" w:rsidRPr="002F497F">
        <w:rPr>
          <w:b/>
          <w:bCs/>
          <w:lang w:val="lt-LT"/>
        </w:rPr>
        <w:t>,</w:t>
      </w:r>
      <w:r w:rsidRPr="002F497F">
        <w:rPr>
          <w:b/>
          <w:bCs/>
          <w:lang w:val="lt-LT"/>
        </w:rPr>
        <w:t xml:space="preserve"> </w:t>
      </w:r>
      <w:r w:rsidR="003B2B8A" w:rsidRPr="002F497F">
        <w:rPr>
          <w:b/>
          <w:bCs/>
          <w:lang w:val="lt-LT"/>
        </w:rPr>
        <w:t xml:space="preserve">Lietuvoje </w:t>
      </w:r>
      <w:r w:rsidR="0099006D" w:rsidRPr="002F497F">
        <w:rPr>
          <w:b/>
          <w:bCs/>
          <w:lang w:val="lt-LT"/>
        </w:rPr>
        <w:t>aplinkosaugos mokesčiai</w:t>
      </w:r>
      <w:r w:rsidR="009C485B" w:rsidRPr="002F497F">
        <w:rPr>
          <w:b/>
          <w:bCs/>
          <w:lang w:val="lt-LT"/>
        </w:rPr>
        <w:t xml:space="preserve"> turi generuoti didesnes pajamas į biudžetą.</w:t>
      </w:r>
      <w:r w:rsidRPr="002F497F">
        <w:rPr>
          <w:lang w:val="lt-LT"/>
        </w:rPr>
        <w:t xml:space="preserve"> </w:t>
      </w:r>
      <w:r w:rsidR="003B2B8A" w:rsidRPr="002F497F">
        <w:rPr>
          <w:lang w:val="lt-LT"/>
        </w:rPr>
        <w:t>Lietuvoje aplinkosaugos mokesčių pajamos, palyginti su BVP, ženkliai atsilieka nuo ES vidurkio</w:t>
      </w:r>
      <w:r w:rsidR="00C85EA8" w:rsidRPr="002F497F">
        <w:rPr>
          <w:lang w:val="lt-LT"/>
        </w:rPr>
        <w:t xml:space="preserve"> (žr. 1 pav.)</w:t>
      </w:r>
      <w:r w:rsidR="003B2B8A" w:rsidRPr="002F497F">
        <w:rPr>
          <w:lang w:val="lt-LT"/>
        </w:rPr>
        <w:t>.</w:t>
      </w:r>
      <w:r w:rsidR="003B2B8A" w:rsidRPr="002F497F">
        <w:rPr>
          <w:b/>
          <w:bCs/>
          <w:lang w:val="lt-LT"/>
        </w:rPr>
        <w:t xml:space="preserve"> </w:t>
      </w:r>
      <w:r w:rsidR="0094643F" w:rsidRPr="002F497F">
        <w:rPr>
          <w:lang w:val="lt-LT"/>
        </w:rPr>
        <w:t xml:space="preserve">2019 m. </w:t>
      </w:r>
      <w:r w:rsidR="007E06D8" w:rsidRPr="002F497F">
        <w:rPr>
          <w:lang w:val="lt-LT"/>
        </w:rPr>
        <w:t>aplinkosaugos mokesči</w:t>
      </w:r>
      <w:r w:rsidR="00861507" w:rsidRPr="002F497F">
        <w:rPr>
          <w:lang w:val="lt-LT"/>
        </w:rPr>
        <w:t>ų pajamos</w:t>
      </w:r>
      <w:r w:rsidR="007E06D8" w:rsidRPr="002F497F">
        <w:rPr>
          <w:lang w:val="lt-LT"/>
        </w:rPr>
        <w:t xml:space="preserve"> </w:t>
      </w:r>
      <w:bookmarkStart w:id="2" w:name="_GoBack"/>
      <w:bookmarkEnd w:id="2"/>
      <w:r w:rsidR="007E06D8" w:rsidRPr="002F497F">
        <w:rPr>
          <w:lang w:val="lt-LT"/>
        </w:rPr>
        <w:t xml:space="preserve">Lietuvoje sudarė 1,9 proc., o ES </w:t>
      </w:r>
      <w:r w:rsidR="00D81C9E" w:rsidRPr="002F497F">
        <w:rPr>
          <w:lang w:val="lt-LT"/>
        </w:rPr>
        <w:t>–</w:t>
      </w:r>
      <w:r w:rsidR="007E06D8" w:rsidRPr="002F497F">
        <w:rPr>
          <w:lang w:val="lt-LT"/>
        </w:rPr>
        <w:t xml:space="preserve"> 2,4 proc.</w:t>
      </w:r>
      <w:r w:rsidR="00D81C9E" w:rsidRPr="002F497F">
        <w:rPr>
          <w:lang w:val="lt-LT"/>
        </w:rPr>
        <w:t xml:space="preserve"> BVP.</w:t>
      </w:r>
      <w:r w:rsidR="007E06D8" w:rsidRPr="002F497F">
        <w:rPr>
          <w:lang w:val="lt-LT"/>
        </w:rPr>
        <w:t xml:space="preserve"> </w:t>
      </w:r>
      <w:r w:rsidR="00861507" w:rsidRPr="002F497F">
        <w:rPr>
          <w:lang w:val="lt-LT"/>
        </w:rPr>
        <w:t xml:space="preserve">Labiausiai </w:t>
      </w:r>
      <w:r w:rsidR="00A45065" w:rsidRPr="002F497F">
        <w:rPr>
          <w:lang w:val="lt-LT"/>
        </w:rPr>
        <w:t xml:space="preserve">Lietuva atsilieka pagal </w:t>
      </w:r>
      <w:r w:rsidR="007E06D8" w:rsidRPr="002F497F">
        <w:rPr>
          <w:lang w:val="lt-LT"/>
        </w:rPr>
        <w:t>transporto</w:t>
      </w:r>
      <w:r w:rsidR="00785DE0" w:rsidRPr="002F497F">
        <w:rPr>
          <w:lang w:val="lt-LT"/>
        </w:rPr>
        <w:t xml:space="preserve"> ir</w:t>
      </w:r>
      <w:r w:rsidR="00A45065" w:rsidRPr="002F497F">
        <w:rPr>
          <w:lang w:val="lt-LT"/>
        </w:rPr>
        <w:t xml:space="preserve"> energijos</w:t>
      </w:r>
      <w:r w:rsidR="007E06D8" w:rsidRPr="002F497F">
        <w:rPr>
          <w:lang w:val="lt-LT"/>
        </w:rPr>
        <w:t xml:space="preserve"> mokesčių pajamas</w:t>
      </w:r>
      <w:r w:rsidR="00A45065" w:rsidRPr="002F497F">
        <w:rPr>
          <w:lang w:val="lt-LT"/>
        </w:rPr>
        <w:t xml:space="preserve">. </w:t>
      </w:r>
      <w:r w:rsidR="0062459F" w:rsidRPr="002F497F">
        <w:rPr>
          <w:lang w:val="lt-LT"/>
        </w:rPr>
        <w:t>Kalbant apie energijos mokesčius, Lietuvoje iki šiol n</w:t>
      </w:r>
      <w:r w:rsidR="00354B78" w:rsidRPr="002F497F">
        <w:rPr>
          <w:lang w:val="lt-LT"/>
        </w:rPr>
        <w:t>ėra</w:t>
      </w:r>
      <w:r w:rsidR="0062459F" w:rsidRPr="002F497F">
        <w:rPr>
          <w:lang w:val="lt-LT"/>
        </w:rPr>
        <w:t xml:space="preserve"> CO</w:t>
      </w:r>
      <w:r w:rsidR="0062459F" w:rsidRPr="002F497F">
        <w:rPr>
          <w:vertAlign w:val="subscript"/>
          <w:lang w:val="lt-LT"/>
        </w:rPr>
        <w:t>2</w:t>
      </w:r>
      <w:r w:rsidR="0062459F" w:rsidRPr="002F497F">
        <w:rPr>
          <w:lang w:val="lt-LT"/>
        </w:rPr>
        <w:t xml:space="preserve"> mokesčio, o taikomi akcizai</w:t>
      </w:r>
      <w:r w:rsidR="002D2D36" w:rsidRPr="002F497F">
        <w:rPr>
          <w:lang w:val="lt-LT"/>
        </w:rPr>
        <w:t>, kurie nėra tiesiogiai pa</w:t>
      </w:r>
      <w:r w:rsidR="00CB2B36" w:rsidRPr="002F497F">
        <w:rPr>
          <w:lang w:val="lt-LT"/>
        </w:rPr>
        <w:t>grįs</w:t>
      </w:r>
      <w:r w:rsidR="002D2D36" w:rsidRPr="002F497F">
        <w:rPr>
          <w:lang w:val="lt-LT"/>
        </w:rPr>
        <w:t>ti išmetamu CO</w:t>
      </w:r>
      <w:r w:rsidR="0025532F" w:rsidRPr="002F497F">
        <w:rPr>
          <w:vertAlign w:val="subscript"/>
          <w:lang w:val="lt-LT"/>
        </w:rPr>
        <w:t>2</w:t>
      </w:r>
      <w:r w:rsidR="0025532F" w:rsidRPr="002F497F">
        <w:rPr>
          <w:lang w:val="lt-LT"/>
        </w:rPr>
        <w:t xml:space="preserve"> kiekiu,</w:t>
      </w:r>
      <w:r w:rsidR="0062459F" w:rsidRPr="002F497F">
        <w:rPr>
          <w:lang w:val="lt-LT"/>
        </w:rPr>
        <w:t xml:space="preserve"> </w:t>
      </w:r>
      <w:r w:rsidR="005D7B06" w:rsidRPr="002F497F">
        <w:rPr>
          <w:lang w:val="lt-LT"/>
        </w:rPr>
        <w:t xml:space="preserve">benzinui, </w:t>
      </w:r>
      <w:proofErr w:type="spellStart"/>
      <w:r w:rsidR="005D7B06" w:rsidRPr="002F497F">
        <w:rPr>
          <w:lang w:val="lt-LT"/>
        </w:rPr>
        <w:t>dyzelinui</w:t>
      </w:r>
      <w:proofErr w:type="spellEnd"/>
      <w:r w:rsidR="005D7B06" w:rsidRPr="002F497F">
        <w:rPr>
          <w:lang w:val="lt-LT"/>
        </w:rPr>
        <w:t xml:space="preserve"> ir kitiems variklių degalams yra vieni mažiausių ES</w:t>
      </w:r>
      <w:r w:rsidR="005D7B06" w:rsidRPr="002F497F">
        <w:rPr>
          <w:rStyle w:val="Puslapioinaosnuoroda"/>
          <w:lang w:val="lt-LT"/>
        </w:rPr>
        <w:footnoteReference w:id="5"/>
      </w:r>
      <w:r w:rsidR="005D7B06" w:rsidRPr="002F497F">
        <w:rPr>
          <w:lang w:val="lt-LT"/>
        </w:rPr>
        <w:t xml:space="preserve">. </w:t>
      </w:r>
      <w:r w:rsidR="002B313C" w:rsidRPr="002F497F">
        <w:rPr>
          <w:lang w:val="lt-LT"/>
        </w:rPr>
        <w:t>M</w:t>
      </w:r>
      <w:r w:rsidR="002534C8" w:rsidRPr="002F497F">
        <w:rPr>
          <w:lang w:val="lt-LT"/>
        </w:rPr>
        <w:t>okesčių tarifai, taikomi dėl energijos vartojimo išmetamam CO</w:t>
      </w:r>
      <w:r w:rsidR="002534C8" w:rsidRPr="002F497F">
        <w:rPr>
          <w:vertAlign w:val="subscript"/>
          <w:lang w:val="lt-LT"/>
        </w:rPr>
        <w:t>2</w:t>
      </w:r>
      <w:r w:rsidR="002534C8" w:rsidRPr="002F497F">
        <w:rPr>
          <w:lang w:val="lt-LT"/>
        </w:rPr>
        <w:t xml:space="preserve"> kiekiui</w:t>
      </w:r>
      <w:r w:rsidR="002B313C" w:rsidRPr="002F497F">
        <w:rPr>
          <w:lang w:val="lt-LT"/>
        </w:rPr>
        <w:t xml:space="preserve"> (įvertinant bendrą CO</w:t>
      </w:r>
      <w:r w:rsidR="002B313C" w:rsidRPr="002F497F">
        <w:rPr>
          <w:vertAlign w:val="subscript"/>
          <w:lang w:val="lt-LT"/>
        </w:rPr>
        <w:t>2</w:t>
      </w:r>
      <w:r w:rsidR="002B313C" w:rsidRPr="002F497F">
        <w:rPr>
          <w:lang w:val="lt-LT"/>
        </w:rPr>
        <w:t xml:space="preserve"> mokesčių ir taikomų akcizų tarifų įtaką)</w:t>
      </w:r>
      <w:r w:rsidR="002534C8" w:rsidRPr="002F497F">
        <w:rPr>
          <w:lang w:val="lt-LT"/>
        </w:rPr>
        <w:t xml:space="preserve">, </w:t>
      </w:r>
      <w:r w:rsidR="0087391C" w:rsidRPr="002F497F">
        <w:rPr>
          <w:lang w:val="lt-LT"/>
        </w:rPr>
        <w:t xml:space="preserve">apskritai Lietuvoje </w:t>
      </w:r>
      <w:r w:rsidR="002534C8" w:rsidRPr="002F497F">
        <w:rPr>
          <w:lang w:val="lt-LT"/>
        </w:rPr>
        <w:t xml:space="preserve">yra maži, </w:t>
      </w:r>
      <w:r w:rsidR="0087391C" w:rsidRPr="002F497F">
        <w:rPr>
          <w:lang w:val="lt-LT"/>
        </w:rPr>
        <w:t xml:space="preserve">o </w:t>
      </w:r>
      <w:r w:rsidR="002534C8" w:rsidRPr="002F497F">
        <w:rPr>
          <w:lang w:val="lt-LT"/>
        </w:rPr>
        <w:t xml:space="preserve">ypač </w:t>
      </w:r>
      <w:r w:rsidR="0087391C" w:rsidRPr="002F497F">
        <w:rPr>
          <w:lang w:val="lt-LT"/>
        </w:rPr>
        <w:t xml:space="preserve">maži jie yra </w:t>
      </w:r>
      <w:r w:rsidR="002534C8" w:rsidRPr="002F497F">
        <w:rPr>
          <w:lang w:val="lt-LT"/>
        </w:rPr>
        <w:t>kelių transporto sektoriuje</w:t>
      </w:r>
      <w:r w:rsidR="002534C8" w:rsidRPr="002F497F">
        <w:rPr>
          <w:rStyle w:val="Puslapioinaosnuoroda"/>
          <w:lang w:val="lt-LT"/>
        </w:rPr>
        <w:footnoteReference w:id="6"/>
      </w:r>
      <w:r w:rsidR="003B2B8A" w:rsidRPr="002F497F">
        <w:rPr>
          <w:lang w:val="lt-LT"/>
        </w:rPr>
        <w:t>.</w:t>
      </w:r>
      <w:r w:rsidR="00204E43" w:rsidRPr="002F497F">
        <w:rPr>
          <w:lang w:val="lt-LT"/>
        </w:rPr>
        <w:t xml:space="preserve"> </w:t>
      </w:r>
      <w:r w:rsidR="0087391C" w:rsidRPr="002F497F">
        <w:rPr>
          <w:lang w:val="lt-LT"/>
        </w:rPr>
        <w:t>V</w:t>
      </w:r>
      <w:r w:rsidR="0058620C" w:rsidRPr="002F497F">
        <w:rPr>
          <w:lang w:val="lt-LT"/>
        </w:rPr>
        <w:t xml:space="preserve">ertinant atotrūkį tarp Lietuvoje taikomų akcizų tarifų ir vidutinių </w:t>
      </w:r>
      <w:r w:rsidR="0058620C" w:rsidRPr="002F497F">
        <w:rPr>
          <w:lang w:val="lt-LT"/>
        </w:rPr>
        <w:lastRenderedPageBreak/>
        <w:t>skirting</w:t>
      </w:r>
      <w:r w:rsidR="007F2D39" w:rsidRPr="002F497F">
        <w:rPr>
          <w:lang w:val="lt-LT"/>
        </w:rPr>
        <w:t>ų</w:t>
      </w:r>
      <w:r w:rsidR="0058620C" w:rsidRPr="002F497F">
        <w:rPr>
          <w:lang w:val="lt-LT"/>
        </w:rPr>
        <w:t xml:space="preserve"> </w:t>
      </w:r>
      <w:r w:rsidR="007F2D39" w:rsidRPr="002F497F">
        <w:rPr>
          <w:lang w:val="lt-LT"/>
        </w:rPr>
        <w:t xml:space="preserve">rūšių </w:t>
      </w:r>
      <w:r w:rsidR="0058620C" w:rsidRPr="002F497F">
        <w:rPr>
          <w:lang w:val="lt-LT"/>
        </w:rPr>
        <w:t>kur</w:t>
      </w:r>
      <w:r w:rsidR="007F2D39" w:rsidRPr="002F497F">
        <w:rPr>
          <w:lang w:val="lt-LT"/>
        </w:rPr>
        <w:t>ui</w:t>
      </w:r>
      <w:r w:rsidR="0058620C" w:rsidRPr="002F497F">
        <w:rPr>
          <w:lang w:val="lt-LT"/>
        </w:rPr>
        <w:t xml:space="preserve"> taikomų akcizo tarifų ES, ypa</w:t>
      </w:r>
      <w:r w:rsidR="00CB2B36" w:rsidRPr="002F497F">
        <w:rPr>
          <w:lang w:val="lt-LT"/>
        </w:rPr>
        <w:t>č</w:t>
      </w:r>
      <w:r w:rsidR="0058620C" w:rsidRPr="002F497F">
        <w:rPr>
          <w:lang w:val="lt-LT"/>
        </w:rPr>
        <w:t xml:space="preserve"> atitrūkęs </w:t>
      </w:r>
      <w:proofErr w:type="spellStart"/>
      <w:r w:rsidR="0058620C" w:rsidRPr="002F497F">
        <w:rPr>
          <w:lang w:val="lt-LT"/>
        </w:rPr>
        <w:t>gazolių</w:t>
      </w:r>
      <w:proofErr w:type="spellEnd"/>
      <w:r w:rsidR="0058620C" w:rsidRPr="002F497F">
        <w:rPr>
          <w:lang w:val="lt-LT"/>
        </w:rPr>
        <w:t>, skirtų šildymui, ir naftos dujų bei duj</w:t>
      </w:r>
      <w:r w:rsidR="007F2D39" w:rsidRPr="002F497F">
        <w:rPr>
          <w:lang w:val="lt-LT"/>
        </w:rPr>
        <w:t>ini</w:t>
      </w:r>
      <w:r w:rsidR="0058620C" w:rsidRPr="002F497F">
        <w:rPr>
          <w:lang w:val="lt-LT"/>
        </w:rPr>
        <w:t>ų angliavandenili</w:t>
      </w:r>
      <w:r w:rsidR="007F2D39" w:rsidRPr="002F497F">
        <w:rPr>
          <w:lang w:val="lt-LT"/>
        </w:rPr>
        <w:t>ų</w:t>
      </w:r>
      <w:r w:rsidR="0058620C" w:rsidRPr="002F497F">
        <w:rPr>
          <w:lang w:val="lt-LT"/>
        </w:rPr>
        <w:t xml:space="preserve">, skirtų buitinėms reikmėms, apmokestinimas (žr. </w:t>
      </w:r>
      <w:r w:rsidR="00EF1A37" w:rsidRPr="002F497F">
        <w:rPr>
          <w:lang w:val="lt-LT"/>
        </w:rPr>
        <w:t xml:space="preserve">2 pav.). </w:t>
      </w:r>
      <w:r w:rsidR="00744A2B" w:rsidRPr="002F497F">
        <w:rPr>
          <w:lang w:val="lt-LT"/>
        </w:rPr>
        <w:t xml:space="preserve">Siekiant </w:t>
      </w:r>
      <w:r w:rsidR="006557C3" w:rsidRPr="002F497F">
        <w:rPr>
          <w:lang w:val="lt-LT"/>
        </w:rPr>
        <w:t xml:space="preserve">sumažinti </w:t>
      </w:r>
      <w:r w:rsidR="002534C8" w:rsidRPr="002F497F">
        <w:rPr>
          <w:lang w:val="lt-LT"/>
        </w:rPr>
        <w:t>taršių</w:t>
      </w:r>
      <w:r w:rsidR="006557C3" w:rsidRPr="002F497F">
        <w:rPr>
          <w:lang w:val="lt-LT"/>
        </w:rPr>
        <w:t xml:space="preserve"> produktų vartojimą</w:t>
      </w:r>
      <w:r w:rsidR="00652B7A" w:rsidRPr="002F497F">
        <w:rPr>
          <w:lang w:val="lt-LT"/>
        </w:rPr>
        <w:t xml:space="preserve"> ir įgyvendinant EBPO rekomendacijas</w:t>
      </w:r>
      <w:r w:rsidR="00652B7A" w:rsidRPr="002F497F">
        <w:rPr>
          <w:rStyle w:val="Puslapioinaosnuoroda"/>
          <w:lang w:val="lt-LT"/>
        </w:rPr>
        <w:footnoteReference w:id="7"/>
      </w:r>
      <w:r w:rsidR="00744A2B" w:rsidRPr="002F497F">
        <w:rPr>
          <w:lang w:val="lt-LT"/>
        </w:rPr>
        <w:t xml:space="preserve">, </w:t>
      </w:r>
      <w:r w:rsidR="006766A1" w:rsidRPr="002F497F">
        <w:rPr>
          <w:lang w:val="lt-LT"/>
        </w:rPr>
        <w:t>manome</w:t>
      </w:r>
      <w:r w:rsidR="003B30B6" w:rsidRPr="002F497F">
        <w:rPr>
          <w:lang w:val="lt-LT"/>
        </w:rPr>
        <w:t xml:space="preserve">, </w:t>
      </w:r>
      <w:r w:rsidR="007F2D39" w:rsidRPr="002F497F">
        <w:rPr>
          <w:lang w:val="lt-LT"/>
        </w:rPr>
        <w:t>kad</w:t>
      </w:r>
      <w:r w:rsidR="003B30B6" w:rsidRPr="002F497F">
        <w:rPr>
          <w:lang w:val="lt-LT"/>
        </w:rPr>
        <w:t xml:space="preserve"> </w:t>
      </w:r>
      <w:r w:rsidR="0087391C" w:rsidRPr="002F497F">
        <w:rPr>
          <w:lang w:val="lt-LT"/>
        </w:rPr>
        <w:t xml:space="preserve">siūlomi </w:t>
      </w:r>
      <w:r w:rsidR="00744A2B" w:rsidRPr="002F497F">
        <w:rPr>
          <w:lang w:val="lt-LT"/>
        </w:rPr>
        <w:t>akcizų pakeitima</w:t>
      </w:r>
      <w:r w:rsidR="002E109E" w:rsidRPr="002F497F">
        <w:rPr>
          <w:lang w:val="lt-LT"/>
        </w:rPr>
        <w:t>i</w:t>
      </w:r>
      <w:r w:rsidR="00744A2B" w:rsidRPr="002F497F">
        <w:rPr>
          <w:lang w:val="lt-LT"/>
        </w:rPr>
        <w:t xml:space="preserve">, įskaitant akcizų didinimą </w:t>
      </w:r>
      <w:r w:rsidR="00DA59AF" w:rsidRPr="002F497F">
        <w:rPr>
          <w:lang w:val="lt-LT"/>
        </w:rPr>
        <w:t>energiniams produktams</w:t>
      </w:r>
      <w:r w:rsidR="003B30B6" w:rsidRPr="002F497F">
        <w:rPr>
          <w:lang w:val="lt-LT"/>
        </w:rPr>
        <w:t xml:space="preserve"> </w:t>
      </w:r>
      <w:r w:rsidR="00E22AC2" w:rsidRPr="002F497F">
        <w:rPr>
          <w:lang w:val="lt-LT"/>
        </w:rPr>
        <w:t xml:space="preserve">ir </w:t>
      </w:r>
      <w:r w:rsidR="0099006D" w:rsidRPr="002F497F">
        <w:rPr>
          <w:lang w:val="lt-LT"/>
        </w:rPr>
        <w:t xml:space="preserve">atotrūkio tarp benzinui ir </w:t>
      </w:r>
      <w:r w:rsidR="00744A2B" w:rsidRPr="002F497F">
        <w:rPr>
          <w:lang w:val="lt-LT"/>
        </w:rPr>
        <w:t xml:space="preserve">gazolinams taikomų akcizų </w:t>
      </w:r>
      <w:r w:rsidR="0099006D" w:rsidRPr="002F497F">
        <w:rPr>
          <w:lang w:val="lt-LT"/>
        </w:rPr>
        <w:t>panaikinimą</w:t>
      </w:r>
      <w:r w:rsidR="002B313C" w:rsidRPr="002F497F">
        <w:rPr>
          <w:lang w:val="lt-LT"/>
        </w:rPr>
        <w:t xml:space="preserve">, </w:t>
      </w:r>
      <w:r w:rsidR="00E22AC2" w:rsidRPr="002F497F">
        <w:rPr>
          <w:lang w:val="lt-LT"/>
        </w:rPr>
        <w:t>yra žingsniai</w:t>
      </w:r>
      <w:r w:rsidR="002B313C" w:rsidRPr="002F497F">
        <w:rPr>
          <w:lang w:val="lt-LT"/>
        </w:rPr>
        <w:t xml:space="preserve"> teisinga linkme</w:t>
      </w:r>
      <w:r w:rsidR="00744A2B" w:rsidRPr="002F497F">
        <w:rPr>
          <w:lang w:val="lt-LT"/>
        </w:rPr>
        <w:t>.</w:t>
      </w:r>
      <w:r w:rsidR="002B313C" w:rsidRPr="002F497F">
        <w:rPr>
          <w:lang w:val="lt-LT"/>
        </w:rPr>
        <w:t xml:space="preserve"> Vis dėlto </w:t>
      </w:r>
      <w:r w:rsidR="00BA6B43" w:rsidRPr="002F497F">
        <w:rPr>
          <w:lang w:val="lt-LT"/>
        </w:rPr>
        <w:t xml:space="preserve">situaciją </w:t>
      </w:r>
      <w:r w:rsidR="00E22AC2" w:rsidRPr="002F497F">
        <w:rPr>
          <w:lang w:val="lt-LT"/>
        </w:rPr>
        <w:t xml:space="preserve">tiksliau įvertinti </w:t>
      </w:r>
      <w:r w:rsidR="00BA6B43" w:rsidRPr="002F497F">
        <w:rPr>
          <w:lang w:val="lt-LT"/>
        </w:rPr>
        <w:t>padėtų papildoma</w:t>
      </w:r>
      <w:r w:rsidR="002B313C" w:rsidRPr="002F497F">
        <w:rPr>
          <w:lang w:val="lt-LT"/>
        </w:rPr>
        <w:t xml:space="preserve"> informacij</w:t>
      </w:r>
      <w:r w:rsidR="00BA6B43" w:rsidRPr="002F497F">
        <w:rPr>
          <w:lang w:val="lt-LT"/>
        </w:rPr>
        <w:t>a</w:t>
      </w:r>
      <w:r w:rsidR="002B313C" w:rsidRPr="002F497F">
        <w:rPr>
          <w:lang w:val="lt-LT"/>
        </w:rPr>
        <w:t>, pagrindžian</w:t>
      </w:r>
      <w:r w:rsidR="00BA6B43" w:rsidRPr="002F497F">
        <w:rPr>
          <w:lang w:val="lt-LT"/>
        </w:rPr>
        <w:t>ti</w:t>
      </w:r>
      <w:r w:rsidR="002B313C" w:rsidRPr="002F497F">
        <w:rPr>
          <w:lang w:val="lt-LT"/>
        </w:rPr>
        <w:t xml:space="preserve"> </w:t>
      </w:r>
      <w:r w:rsidR="00E22AC2" w:rsidRPr="002F497F">
        <w:rPr>
          <w:lang w:val="lt-LT"/>
        </w:rPr>
        <w:t xml:space="preserve">siūlomų </w:t>
      </w:r>
      <w:r w:rsidR="002B313C" w:rsidRPr="002F497F">
        <w:rPr>
          <w:lang w:val="lt-LT"/>
        </w:rPr>
        <w:t xml:space="preserve">tarifų dydį ir galimą </w:t>
      </w:r>
      <w:r w:rsidR="00E22AC2" w:rsidRPr="002F497F">
        <w:rPr>
          <w:lang w:val="lt-LT"/>
        </w:rPr>
        <w:t>jų</w:t>
      </w:r>
      <w:r w:rsidR="002B313C" w:rsidRPr="002F497F">
        <w:rPr>
          <w:lang w:val="lt-LT"/>
        </w:rPr>
        <w:t xml:space="preserve"> įtak</w:t>
      </w:r>
      <w:r w:rsidR="007E4261" w:rsidRPr="002F497F">
        <w:rPr>
          <w:lang w:val="lt-LT"/>
        </w:rPr>
        <w:t>ą</w:t>
      </w:r>
      <w:r w:rsidR="002B313C" w:rsidRPr="002F497F">
        <w:rPr>
          <w:lang w:val="lt-LT"/>
        </w:rPr>
        <w:t xml:space="preserve"> </w:t>
      </w:r>
      <w:r w:rsidR="00E22AC2" w:rsidRPr="002F497F">
        <w:rPr>
          <w:lang w:val="lt-LT"/>
        </w:rPr>
        <w:t>Lietuvos</w:t>
      </w:r>
      <w:r w:rsidR="00EE3A2F" w:rsidRPr="002F497F">
        <w:rPr>
          <w:lang w:val="lt-LT"/>
        </w:rPr>
        <w:t xml:space="preserve"> ekonomikos</w:t>
      </w:r>
      <w:r w:rsidR="002B313C" w:rsidRPr="002F497F">
        <w:rPr>
          <w:lang w:val="lt-LT"/>
        </w:rPr>
        <w:t xml:space="preserve"> konkurencingumui ar šešėli</w:t>
      </w:r>
      <w:r w:rsidR="00E22AC2" w:rsidRPr="002F497F">
        <w:rPr>
          <w:lang w:val="lt-LT"/>
        </w:rPr>
        <w:t>nės ekonomikos dydžiui</w:t>
      </w:r>
      <w:r w:rsidR="002B313C" w:rsidRPr="002F497F">
        <w:rPr>
          <w:lang w:val="lt-LT"/>
        </w:rPr>
        <w:t xml:space="preserve">. </w:t>
      </w:r>
    </w:p>
    <w:tbl>
      <w:tblPr>
        <w:tblStyle w:val="Lentelstinklelis"/>
        <w:tblpPr w:leftFromText="180" w:rightFromText="180" w:vertAnchor="text" w:horzAnchor="margin" w:tblpY="45"/>
        <w:tblOverlap w:val="nev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4"/>
      </w:tblGrid>
      <w:tr w:rsidR="00576926" w:rsidRPr="002F497F" w14:paraId="27236385" w14:textId="77777777" w:rsidTr="00576926">
        <w:trPr>
          <w:trHeight w:val="234"/>
        </w:trPr>
        <w:tc>
          <w:tcPr>
            <w:tcW w:w="9354" w:type="dxa"/>
          </w:tcPr>
          <w:p w14:paraId="225B644B" w14:textId="18F28747" w:rsidR="00576926" w:rsidRPr="002F497F" w:rsidRDefault="00576926" w:rsidP="00576926">
            <w:pPr>
              <w:keepNext/>
              <w:spacing w:after="120"/>
              <w:jc w:val="both"/>
              <w:rPr>
                <w:bCs/>
                <w:color w:val="00B07D"/>
                <w:sz w:val="18"/>
                <w:szCs w:val="18"/>
                <w:lang w:val="lt-LT"/>
              </w:rPr>
            </w:pPr>
            <w:bookmarkStart w:id="3" w:name="_Hlk86215035"/>
            <w:bookmarkEnd w:id="1"/>
            <w:r w:rsidRPr="002F497F">
              <w:rPr>
                <w:bCs/>
                <w:color w:val="000000" w:themeColor="text1"/>
                <w:lang w:val="lt-LT"/>
              </w:rPr>
              <w:t>1 pav. Aplinkosaugos mokesčių pajamos</w:t>
            </w:r>
            <w:r w:rsidR="007F2D39" w:rsidRPr="002F497F">
              <w:rPr>
                <w:bCs/>
                <w:color w:val="000000" w:themeColor="text1"/>
                <w:lang w:val="lt-LT"/>
              </w:rPr>
              <w:t>, palyginti su BVP,</w:t>
            </w:r>
            <w:r w:rsidRPr="002F497F">
              <w:rPr>
                <w:bCs/>
                <w:color w:val="000000" w:themeColor="text1"/>
                <w:lang w:val="lt-LT"/>
              </w:rPr>
              <w:t xml:space="preserve"> ES šalyse 2019 m.</w:t>
            </w:r>
          </w:p>
        </w:tc>
      </w:tr>
      <w:tr w:rsidR="00576926" w:rsidRPr="002F497F" w14:paraId="08551832" w14:textId="77777777" w:rsidTr="00576926">
        <w:trPr>
          <w:trHeight w:val="3758"/>
        </w:trPr>
        <w:tc>
          <w:tcPr>
            <w:tcW w:w="9354" w:type="dxa"/>
          </w:tcPr>
          <w:p w14:paraId="13ADA9BB" w14:textId="77777777" w:rsidR="00576926" w:rsidRPr="002F497F" w:rsidRDefault="00576926" w:rsidP="00576926">
            <w:pPr>
              <w:tabs>
                <w:tab w:val="left" w:pos="6765"/>
              </w:tabs>
              <w:spacing w:after="120" w:line="360" w:lineRule="auto"/>
              <w:jc w:val="both"/>
              <w:rPr>
                <w:color w:val="E31C48"/>
                <w:lang w:val="lt-LT"/>
              </w:rPr>
            </w:pPr>
            <w:r w:rsidRPr="002F497F">
              <w:rPr>
                <w:noProof/>
                <w:lang w:val="lt-LT"/>
              </w:rPr>
              <w:drawing>
                <wp:inline distT="0" distB="0" distL="0" distR="0" wp14:anchorId="438DDE8D" wp14:editId="3E57B406">
                  <wp:extent cx="5894070" cy="2088000"/>
                  <wp:effectExtent l="0" t="0" r="0" b="762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D7D84E0-13B7-4C29-BB20-35814CF6C9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bookmarkEnd w:id="3"/>
    <w:p w14:paraId="1492BF2F" w14:textId="3D23E83E" w:rsidR="0091152C" w:rsidRPr="002F497F" w:rsidRDefault="00843008" w:rsidP="00A667E3">
      <w:pPr>
        <w:spacing w:after="240"/>
        <w:ind w:firstLine="709"/>
        <w:jc w:val="both"/>
        <w:rPr>
          <w:lang w:val="lt-LT"/>
        </w:rPr>
      </w:pPr>
      <w:r w:rsidRPr="002F497F">
        <w:rPr>
          <w:b/>
          <w:bCs/>
          <w:lang w:val="lt-LT"/>
        </w:rPr>
        <w:t xml:space="preserve">Siekiant mokestinio </w:t>
      </w:r>
      <w:r w:rsidR="00CD2852" w:rsidRPr="002F497F">
        <w:rPr>
          <w:b/>
          <w:bCs/>
          <w:lang w:val="lt-LT"/>
        </w:rPr>
        <w:t>teisingumo ir elgsenos pokyčių,</w:t>
      </w:r>
      <w:r w:rsidRPr="002F497F">
        <w:rPr>
          <w:b/>
          <w:bCs/>
          <w:lang w:val="lt-LT"/>
        </w:rPr>
        <w:t xml:space="preserve"> </w:t>
      </w:r>
      <w:r w:rsidR="004041FC" w:rsidRPr="002F497F">
        <w:rPr>
          <w:b/>
          <w:bCs/>
          <w:lang w:val="lt-LT"/>
        </w:rPr>
        <w:t xml:space="preserve">Lietuvos bankas palankiai vertina akcizų lengvatų energiniams produktams </w:t>
      </w:r>
      <w:r w:rsidRPr="002F497F">
        <w:rPr>
          <w:b/>
          <w:bCs/>
          <w:lang w:val="lt-LT"/>
        </w:rPr>
        <w:t>mažinimą</w:t>
      </w:r>
      <w:r w:rsidR="004041FC" w:rsidRPr="002F497F">
        <w:rPr>
          <w:b/>
          <w:bCs/>
          <w:lang w:val="lt-LT"/>
        </w:rPr>
        <w:t xml:space="preserve">. </w:t>
      </w:r>
      <w:r w:rsidRPr="002F497F">
        <w:rPr>
          <w:lang w:val="lt-LT"/>
        </w:rPr>
        <w:t>Vis dėlto</w:t>
      </w:r>
      <w:r w:rsidR="002B313C" w:rsidRPr="002F497F">
        <w:rPr>
          <w:lang w:val="lt-LT"/>
        </w:rPr>
        <w:t xml:space="preserve"> kai kuriems produktams lengvatos</w:t>
      </w:r>
      <w:r w:rsidR="006766A1" w:rsidRPr="002F497F">
        <w:rPr>
          <w:lang w:val="lt-LT"/>
        </w:rPr>
        <w:t xml:space="preserve"> ir toliau</w:t>
      </w:r>
      <w:r w:rsidR="002B313C" w:rsidRPr="002F497F">
        <w:rPr>
          <w:lang w:val="lt-LT"/>
        </w:rPr>
        <w:t xml:space="preserve"> </w:t>
      </w:r>
      <w:r w:rsidR="006766A1" w:rsidRPr="002F497F">
        <w:rPr>
          <w:lang w:val="lt-LT"/>
        </w:rPr>
        <w:t xml:space="preserve">paliekamos galioti, </w:t>
      </w:r>
      <w:r w:rsidR="001D67A4" w:rsidRPr="002F497F">
        <w:rPr>
          <w:lang w:val="lt-LT"/>
        </w:rPr>
        <w:t>tačiau</w:t>
      </w:r>
      <w:r w:rsidR="006766A1" w:rsidRPr="002F497F">
        <w:rPr>
          <w:lang w:val="lt-LT"/>
        </w:rPr>
        <w:t xml:space="preserve"> tvirtų tokį sprendimą pagrindžiančių argumentų</w:t>
      </w:r>
      <w:r w:rsidR="00291361" w:rsidRPr="002F497F">
        <w:rPr>
          <w:lang w:val="lt-LT"/>
        </w:rPr>
        <w:t xml:space="preserve"> </w:t>
      </w:r>
      <w:r w:rsidR="001D67A4" w:rsidRPr="002F497F">
        <w:rPr>
          <w:lang w:val="lt-LT"/>
        </w:rPr>
        <w:t>su projektu susijusiuose dokumentuose nepavyko rasti</w:t>
      </w:r>
      <w:r w:rsidR="002B313C" w:rsidRPr="002F497F">
        <w:rPr>
          <w:lang w:val="lt-LT"/>
        </w:rPr>
        <w:t>.</w:t>
      </w:r>
      <w:r w:rsidR="00B543A8" w:rsidRPr="002F497F">
        <w:rPr>
          <w:lang w:val="lt-LT"/>
        </w:rPr>
        <w:t xml:space="preserve"> Nors projektuose siūloma sumažinti lengvatinėmis sąlygomis galimo įsigyti gazolio, naudojamo žemės ūkyje, kiekį, esame linkę manyti, kad toks sprendimas mokestinio teisingumo požiūriu (kai iškastinis kuras apmokestinamas vienodai, neatsižvelgiant į ekonominę veiklą, kurioje jis naudojamas) yra nepakankamas, </w:t>
      </w:r>
      <w:r w:rsidR="009C485B" w:rsidRPr="002F497F">
        <w:rPr>
          <w:lang w:val="lt-LT"/>
        </w:rPr>
        <w:t>kad spręstų esminę</w:t>
      </w:r>
      <w:r w:rsidR="00B543A8" w:rsidRPr="002F497F">
        <w:rPr>
          <w:lang w:val="lt-LT"/>
        </w:rPr>
        <w:t xml:space="preserve"> – taikomų akcizo tarifų dydžio – </w:t>
      </w:r>
      <w:r w:rsidR="009C485B" w:rsidRPr="002F497F">
        <w:rPr>
          <w:lang w:val="lt-LT"/>
        </w:rPr>
        <w:t>problemą</w:t>
      </w:r>
      <w:r w:rsidR="00B543A8" w:rsidRPr="002F497F">
        <w:rPr>
          <w:lang w:val="lt-LT"/>
        </w:rPr>
        <w:t xml:space="preserve">. </w:t>
      </w:r>
      <w:r w:rsidR="00AC0B19" w:rsidRPr="002F497F">
        <w:rPr>
          <w:lang w:val="lt-LT"/>
        </w:rPr>
        <w:t xml:space="preserve">Atkreipiame dėmesį, kad akcizų lengvata žemės ūkiui reiškia pakankamai reikšmingus valstybės biudžeto pajamų netekimus: EBPO rekomendacijose nurodo, </w:t>
      </w:r>
      <w:r w:rsidR="002116DD" w:rsidRPr="002F497F">
        <w:rPr>
          <w:lang w:val="lt-LT"/>
        </w:rPr>
        <w:t xml:space="preserve">kad </w:t>
      </w:r>
      <w:r w:rsidR="00AC0B19" w:rsidRPr="002F497F">
        <w:rPr>
          <w:lang w:val="lt-LT"/>
        </w:rPr>
        <w:t xml:space="preserve">2019 m. </w:t>
      </w:r>
      <w:r w:rsidRPr="002F497F">
        <w:rPr>
          <w:lang w:val="lt-LT"/>
        </w:rPr>
        <w:t xml:space="preserve">parama iškastinio kuro vartojimui </w:t>
      </w:r>
      <w:r w:rsidR="00AC0B19" w:rsidRPr="002F497F">
        <w:rPr>
          <w:lang w:val="lt-LT"/>
        </w:rPr>
        <w:t xml:space="preserve">Lietuvoje </w:t>
      </w:r>
      <w:r w:rsidRPr="002F497F">
        <w:rPr>
          <w:lang w:val="lt-LT"/>
        </w:rPr>
        <w:t>sudarė 34 proc. energijos mokesčių pajamų. Jas daugiausia sudar</w:t>
      </w:r>
      <w:r w:rsidR="008D5D88" w:rsidRPr="002F497F">
        <w:rPr>
          <w:lang w:val="lt-LT"/>
        </w:rPr>
        <w:t>ė</w:t>
      </w:r>
      <w:r w:rsidRPr="002F497F">
        <w:rPr>
          <w:lang w:val="lt-LT"/>
        </w:rPr>
        <w:t xml:space="preserve"> mokesčių lengvatos naftos produktų naudojimui, visų pirma mažesnis šildymui naudojamo krosnių kuro ir žemės ūkyje naudojamo </w:t>
      </w:r>
      <w:proofErr w:type="spellStart"/>
      <w:r w:rsidRPr="002F497F">
        <w:rPr>
          <w:lang w:val="lt-LT"/>
        </w:rPr>
        <w:t>dyzelino</w:t>
      </w:r>
      <w:proofErr w:type="spellEnd"/>
      <w:r w:rsidRPr="002F497F">
        <w:rPr>
          <w:lang w:val="lt-LT"/>
        </w:rPr>
        <w:t xml:space="preserve"> apmokestinimas. Šios mokesčių lengvatos siaurina mokesčių bazę ir mažina </w:t>
      </w:r>
      <w:r w:rsidR="002E109E" w:rsidRPr="002F497F">
        <w:rPr>
          <w:lang w:val="lt-LT"/>
        </w:rPr>
        <w:t>CO</w:t>
      </w:r>
      <w:r w:rsidR="002E109E" w:rsidRPr="002F497F">
        <w:rPr>
          <w:vertAlign w:val="subscript"/>
          <w:lang w:val="lt-LT"/>
        </w:rPr>
        <w:t>2</w:t>
      </w:r>
      <w:r w:rsidRPr="002F497F">
        <w:rPr>
          <w:lang w:val="lt-LT"/>
        </w:rPr>
        <w:t xml:space="preserve"> kainas. </w:t>
      </w:r>
      <w:r w:rsidR="00DA59AF" w:rsidRPr="002F497F">
        <w:rPr>
          <w:lang w:val="lt-LT"/>
        </w:rPr>
        <w:t xml:space="preserve"> </w:t>
      </w:r>
    </w:p>
    <w:p w14:paraId="03F57412" w14:textId="023FF623" w:rsidR="00EE70A6" w:rsidRPr="002F497F" w:rsidRDefault="00EE3A2F" w:rsidP="00391BB2">
      <w:pPr>
        <w:spacing w:after="240"/>
        <w:ind w:firstLine="709"/>
        <w:jc w:val="both"/>
        <w:rPr>
          <w:lang w:val="lt-LT"/>
        </w:rPr>
      </w:pPr>
      <w:r w:rsidRPr="002F497F">
        <w:rPr>
          <w:b/>
          <w:bCs/>
          <w:lang w:val="lt-LT"/>
        </w:rPr>
        <w:t>CO</w:t>
      </w:r>
      <w:r w:rsidRPr="002F497F">
        <w:rPr>
          <w:b/>
          <w:bCs/>
          <w:vertAlign w:val="subscript"/>
        </w:rPr>
        <w:t>2</w:t>
      </w:r>
      <w:r w:rsidRPr="002F497F">
        <w:rPr>
          <w:b/>
          <w:bCs/>
        </w:rPr>
        <w:t xml:space="preserve"> </w:t>
      </w:r>
      <w:r w:rsidRPr="002F497F">
        <w:rPr>
          <w:b/>
          <w:bCs/>
          <w:lang w:val="lt-LT"/>
        </w:rPr>
        <w:t>mokesčiai</w:t>
      </w:r>
      <w:r w:rsidR="007F2D39" w:rsidRPr="002F497F">
        <w:rPr>
          <w:b/>
          <w:bCs/>
          <w:lang w:val="lt-LT"/>
        </w:rPr>
        <w:t>s</w:t>
      </w:r>
      <w:r w:rsidR="00EE70A6" w:rsidRPr="002F497F">
        <w:rPr>
          <w:b/>
          <w:bCs/>
          <w:lang w:val="lt-LT"/>
        </w:rPr>
        <w:t xml:space="preserve"> </w:t>
      </w:r>
      <w:r w:rsidRPr="002F497F">
        <w:rPr>
          <w:b/>
          <w:bCs/>
          <w:lang w:val="lt-LT"/>
        </w:rPr>
        <w:t>atsižvelgia</w:t>
      </w:r>
      <w:r w:rsidR="007F2D39" w:rsidRPr="002F497F">
        <w:rPr>
          <w:b/>
          <w:bCs/>
          <w:lang w:val="lt-LT"/>
        </w:rPr>
        <w:t>ma</w:t>
      </w:r>
      <w:r w:rsidRPr="002F497F">
        <w:rPr>
          <w:b/>
          <w:bCs/>
          <w:lang w:val="lt-LT"/>
        </w:rPr>
        <w:t xml:space="preserve"> į generuojamą CO</w:t>
      </w:r>
      <w:r w:rsidRPr="002F497F">
        <w:rPr>
          <w:b/>
          <w:bCs/>
          <w:vertAlign w:val="subscript"/>
        </w:rPr>
        <w:t>2</w:t>
      </w:r>
      <w:r w:rsidR="00EE70A6" w:rsidRPr="002F497F">
        <w:rPr>
          <w:b/>
          <w:bCs/>
          <w:lang w:val="lt-LT"/>
        </w:rPr>
        <w:t xml:space="preserve"> kiekį, </w:t>
      </w:r>
      <w:r w:rsidRPr="002F497F">
        <w:rPr>
          <w:b/>
          <w:bCs/>
          <w:lang w:val="lt-LT"/>
        </w:rPr>
        <w:t xml:space="preserve">tad </w:t>
      </w:r>
      <w:r w:rsidR="00827540" w:rsidRPr="002F497F">
        <w:rPr>
          <w:b/>
          <w:bCs/>
          <w:lang w:val="lt-LT"/>
        </w:rPr>
        <w:t xml:space="preserve">jie </w:t>
      </w:r>
      <w:r w:rsidR="00EE70A6" w:rsidRPr="002F497F">
        <w:rPr>
          <w:b/>
          <w:bCs/>
          <w:lang w:val="lt-LT"/>
        </w:rPr>
        <w:t>yra veiks</w:t>
      </w:r>
      <w:r w:rsidR="004415B0" w:rsidRPr="002F497F">
        <w:rPr>
          <w:b/>
          <w:bCs/>
          <w:lang w:val="lt-LT"/>
        </w:rPr>
        <w:t>-</w:t>
      </w:r>
      <w:proofErr w:type="spellStart"/>
      <w:r w:rsidR="00EE70A6" w:rsidRPr="002F497F">
        <w:rPr>
          <w:b/>
          <w:bCs/>
          <w:lang w:val="lt-LT"/>
        </w:rPr>
        <w:t>mingiausias</w:t>
      </w:r>
      <w:proofErr w:type="spellEnd"/>
      <w:r w:rsidR="00EE70A6" w:rsidRPr="002F497F">
        <w:rPr>
          <w:b/>
          <w:bCs/>
          <w:lang w:val="lt-LT"/>
        </w:rPr>
        <w:t xml:space="preserve"> ir efektyviausias būdas siekiant klimato kaitos švelninimo tikslų</w:t>
      </w:r>
      <w:r w:rsidR="00EE70A6" w:rsidRPr="002F497F">
        <w:rPr>
          <w:rStyle w:val="Puslapioinaosnuoroda"/>
          <w:b/>
          <w:bCs/>
          <w:lang w:val="lt-LT"/>
        </w:rPr>
        <w:footnoteReference w:id="8"/>
      </w:r>
      <w:r w:rsidR="00EE70A6" w:rsidRPr="002F497F">
        <w:rPr>
          <w:b/>
          <w:bCs/>
          <w:lang w:val="lt-LT"/>
        </w:rPr>
        <w:t>.</w:t>
      </w:r>
      <w:r w:rsidR="00EE70A6" w:rsidRPr="002F497F">
        <w:rPr>
          <w:lang w:val="lt-LT"/>
        </w:rPr>
        <w:t xml:space="preserve"> Jie skatina įmones ir namų ūkius sumažinti energijos vartojimą ir pereiti prie švaresnių alternatyvų. Mokesčiai, taikomi energijos produktams, iki šiol nevisiškai atspindėjo su energijos vartojimu susijusias aplinkosaugos sąnaudas</w:t>
      </w:r>
      <w:r w:rsidR="00EE70A6" w:rsidRPr="002F497F">
        <w:rPr>
          <w:rStyle w:val="Puslapioinaosnuoroda"/>
          <w:lang w:val="lt-LT"/>
        </w:rPr>
        <w:footnoteReference w:id="9"/>
      </w:r>
      <w:r w:rsidR="00EE70A6" w:rsidRPr="002F497F">
        <w:rPr>
          <w:lang w:val="lt-LT"/>
        </w:rPr>
        <w:t>. Tad CO</w:t>
      </w:r>
      <w:r w:rsidR="00EE70A6" w:rsidRPr="002F497F">
        <w:rPr>
          <w:vertAlign w:val="subscript"/>
          <w:lang w:val="lt-LT"/>
        </w:rPr>
        <w:t>2</w:t>
      </w:r>
      <w:r w:rsidR="00EE70A6" w:rsidRPr="002F497F">
        <w:rPr>
          <w:lang w:val="lt-LT"/>
        </w:rPr>
        <w:t xml:space="preserve"> dedamosios, kuri būtų proporcinga kuro rūšies CO</w:t>
      </w:r>
      <w:r w:rsidR="00EE70A6" w:rsidRPr="002F497F">
        <w:rPr>
          <w:vertAlign w:val="subscript"/>
          <w:lang w:val="lt-LT"/>
        </w:rPr>
        <w:t>2</w:t>
      </w:r>
      <w:r w:rsidR="00EE70A6" w:rsidRPr="002F497F">
        <w:rPr>
          <w:lang w:val="lt-LT"/>
        </w:rPr>
        <w:t xml:space="preserve"> išmetimui priklausomai nuo kaloringumo, įvedimas atliepia apmokestinimo atsižvelgiant į taršos lygį tikslą. Lietuvos banko atlikti vertinimai rodo, kad pagal siūlomą įstatymą 2019 m. CO</w:t>
      </w:r>
      <w:r w:rsidR="00EE70A6" w:rsidRPr="002F497F">
        <w:rPr>
          <w:vertAlign w:val="subscript"/>
          <w:lang w:val="lt-LT"/>
        </w:rPr>
        <w:t xml:space="preserve">2 </w:t>
      </w:r>
      <w:r w:rsidR="00EE70A6" w:rsidRPr="002F497F">
        <w:rPr>
          <w:lang w:val="lt-LT"/>
        </w:rPr>
        <w:t>dedamąja būtų apmokestinta apie 38,5 proc. visų Lietuvos CO</w:t>
      </w:r>
      <w:r w:rsidR="00EE70A6" w:rsidRPr="002F497F">
        <w:rPr>
          <w:vertAlign w:val="subscript"/>
          <w:lang w:val="lt-LT"/>
        </w:rPr>
        <w:t>2</w:t>
      </w:r>
      <w:r w:rsidR="00EE70A6" w:rsidRPr="002F497F">
        <w:rPr>
          <w:lang w:val="lt-LT"/>
        </w:rPr>
        <w:t xml:space="preserve"> emisijų. Esant tokiai CO</w:t>
      </w:r>
      <w:r w:rsidR="00EE70A6" w:rsidRPr="002F497F">
        <w:rPr>
          <w:vertAlign w:val="subscript"/>
          <w:lang w:val="lt-LT"/>
        </w:rPr>
        <w:t>2</w:t>
      </w:r>
      <w:r w:rsidR="00EE70A6" w:rsidRPr="002F497F">
        <w:rPr>
          <w:lang w:val="lt-LT"/>
        </w:rPr>
        <w:t xml:space="preserve"> emisijų struktūrai, efektyvusis Lietuvos CO</w:t>
      </w:r>
      <w:r w:rsidR="00EE70A6" w:rsidRPr="002F497F">
        <w:rPr>
          <w:vertAlign w:val="subscript"/>
          <w:lang w:val="lt-LT"/>
        </w:rPr>
        <w:t>2</w:t>
      </w:r>
      <w:r w:rsidR="00EE70A6" w:rsidRPr="002F497F">
        <w:rPr>
          <w:lang w:val="lt-LT"/>
        </w:rPr>
        <w:t xml:space="preserve"> dedamosios tarifas 2025 m. </w:t>
      </w:r>
      <w:r w:rsidR="00EE70A6" w:rsidRPr="002F497F">
        <w:rPr>
          <w:lang w:val="lt-LT"/>
        </w:rPr>
        <w:lastRenderedPageBreak/>
        <w:t>sudarytų 3,9 eur</w:t>
      </w:r>
      <w:r w:rsidR="007F2D39" w:rsidRPr="002F497F">
        <w:rPr>
          <w:lang w:val="lt-LT"/>
        </w:rPr>
        <w:t>o</w:t>
      </w:r>
      <w:r w:rsidR="00EE70A6" w:rsidRPr="002F497F">
        <w:rPr>
          <w:lang w:val="lt-LT"/>
        </w:rPr>
        <w:t xml:space="preserve"> už toną CO</w:t>
      </w:r>
      <w:r w:rsidR="00EE70A6" w:rsidRPr="002F497F">
        <w:rPr>
          <w:vertAlign w:val="subscript"/>
          <w:lang w:val="lt-LT"/>
        </w:rPr>
        <w:t>2</w:t>
      </w:r>
      <w:r w:rsidR="00EE70A6" w:rsidRPr="002F497F">
        <w:rPr>
          <w:lang w:val="lt-LT"/>
        </w:rPr>
        <w:t xml:space="preserve"> ir </w:t>
      </w:r>
      <w:r w:rsidR="007F2D39" w:rsidRPr="002F497F">
        <w:rPr>
          <w:lang w:val="lt-LT"/>
        </w:rPr>
        <w:t xml:space="preserve">iki 2030 m. </w:t>
      </w:r>
      <w:r w:rsidR="00EE70A6" w:rsidRPr="002F497F">
        <w:rPr>
          <w:lang w:val="lt-LT"/>
        </w:rPr>
        <w:t>pakiltų iki 23,1 (žr.</w:t>
      </w:r>
      <w:r w:rsidR="009F6F98" w:rsidRPr="002F497F">
        <w:rPr>
          <w:lang w:val="lt-LT"/>
        </w:rPr>
        <w:t xml:space="preserve"> </w:t>
      </w:r>
      <w:proofErr w:type="gramStart"/>
      <w:r w:rsidR="00EE70A6" w:rsidRPr="002F497F">
        <w:t>3</w:t>
      </w:r>
      <w:r w:rsidR="00EE70A6" w:rsidRPr="002F497F">
        <w:rPr>
          <w:lang w:val="lt-LT"/>
        </w:rPr>
        <w:t xml:space="preserve"> pav.).</w:t>
      </w:r>
      <w:proofErr w:type="gramEnd"/>
      <w:r w:rsidR="00EE70A6" w:rsidRPr="002F497F">
        <w:rPr>
          <w:lang w:val="lt-LT"/>
        </w:rPr>
        <w:t xml:space="preserve"> Nors CO</w:t>
      </w:r>
      <w:r w:rsidR="00EE70A6" w:rsidRPr="002F497F">
        <w:rPr>
          <w:vertAlign w:val="subscript"/>
          <w:lang w:val="lt-LT"/>
        </w:rPr>
        <w:t>2</w:t>
      </w:r>
      <w:r w:rsidR="00EE70A6" w:rsidRPr="002F497F">
        <w:rPr>
          <w:lang w:val="lt-LT"/>
        </w:rPr>
        <w:t xml:space="preserve"> dedamosios įvedimas atliepia apmokestinimo atsižvelgiant į taršos lygį tikslą, vis dėlto siūlomus pakeitimus </w:t>
      </w:r>
      <w:r w:rsidR="007F2D39" w:rsidRPr="002F497F">
        <w:rPr>
          <w:lang w:val="lt-LT"/>
        </w:rPr>
        <w:t xml:space="preserve">geriau </w:t>
      </w:r>
      <w:r w:rsidR="00EE70A6" w:rsidRPr="002F497F">
        <w:rPr>
          <w:lang w:val="lt-LT"/>
        </w:rPr>
        <w:t>įvertinti padėtų papildomai įtrauktas: 1</w:t>
      </w:r>
      <w:r w:rsidR="007F2D39" w:rsidRPr="002F497F">
        <w:rPr>
          <w:lang w:val="lt-LT"/>
        </w:rPr>
        <w:t>)</w:t>
      </w:r>
      <w:r w:rsidR="00EE70A6" w:rsidRPr="002F497F">
        <w:rPr>
          <w:lang w:val="lt-LT"/>
        </w:rPr>
        <w:t xml:space="preserve"> kompleksinis CO</w:t>
      </w:r>
      <w:r w:rsidR="00EE70A6" w:rsidRPr="002F497F">
        <w:rPr>
          <w:vertAlign w:val="subscript"/>
          <w:lang w:val="lt-LT"/>
        </w:rPr>
        <w:t>2</w:t>
      </w:r>
      <w:r w:rsidR="00EE70A6" w:rsidRPr="002F497F">
        <w:rPr>
          <w:lang w:val="lt-LT"/>
        </w:rPr>
        <w:t xml:space="preserve"> dedamosios ir akcizų didinimo įtakos, siekiant klimato kaitos švelninimo tikslų, vertinimas; 2</w:t>
      </w:r>
      <w:r w:rsidR="007F2D39" w:rsidRPr="002F497F">
        <w:rPr>
          <w:lang w:val="lt-LT"/>
        </w:rPr>
        <w:t>)</w:t>
      </w:r>
      <w:r w:rsidR="00EE70A6" w:rsidRPr="002F497F">
        <w:rPr>
          <w:lang w:val="lt-LT"/>
        </w:rPr>
        <w:t xml:space="preserve"> galimo poveikio konkurencingumui, pajamų nelygybei ir šešėlio didėjimui analizė; 3</w:t>
      </w:r>
      <w:r w:rsidR="007F2D39" w:rsidRPr="002F497F">
        <w:rPr>
          <w:lang w:val="lt-LT"/>
        </w:rPr>
        <w:t>)</w:t>
      </w:r>
      <w:r w:rsidR="00EE70A6" w:rsidRPr="002F497F">
        <w:rPr>
          <w:lang w:val="lt-LT"/>
        </w:rPr>
        <w:t xml:space="preserve"> apmokestinimo dydžio pagrindimas. Be to, siekiant klimato kaitos švelninimo tikslų ir teisingos mokestinės sistemos, CO</w:t>
      </w:r>
      <w:r w:rsidR="00EE70A6" w:rsidRPr="002F497F">
        <w:rPr>
          <w:vertAlign w:val="subscript"/>
          <w:lang w:val="lt-LT"/>
        </w:rPr>
        <w:t>2</w:t>
      </w:r>
      <w:r w:rsidR="00EE70A6" w:rsidRPr="002F497F">
        <w:rPr>
          <w:lang w:val="lt-LT"/>
        </w:rPr>
        <w:t xml:space="preserve"> dedamąja turėtų būti apmokestinti visi taršą generuojantys energiniai produktai, tad projektuose taip pat pasigendame pagrindimo, dėl paliekamų apmokestinimo išimčių gamtinėms dujoms, elektros energijai, žemės ūkio veikloje naudojamiems </w:t>
      </w:r>
      <w:proofErr w:type="spellStart"/>
      <w:r w:rsidR="00EE70A6" w:rsidRPr="002F497F">
        <w:rPr>
          <w:lang w:val="lt-LT"/>
        </w:rPr>
        <w:t>gazoliams</w:t>
      </w:r>
      <w:proofErr w:type="spellEnd"/>
      <w:r w:rsidR="00EE70A6" w:rsidRPr="002F497F">
        <w:rPr>
          <w:lang w:val="lt-LT"/>
        </w:rPr>
        <w:t xml:space="preserve"> (įskaitant akvakultūros ar verslinės žvejybos vidaus vandenyse veiklą), naftos dujoms ir dujiniams angliavandeniliams, skirtiems buitinėms reikmėms).</w:t>
      </w:r>
    </w:p>
    <w:tbl>
      <w:tblPr>
        <w:tblStyle w:val="Lentelstinklelis"/>
        <w:tblpPr w:leftFromText="180" w:rightFromText="180" w:vertAnchor="text" w:horzAnchor="margin" w:tblpX="-142" w:tblpY="62"/>
        <w:tblOverlap w:val="never"/>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2"/>
      </w:tblGrid>
      <w:tr w:rsidR="00576926" w:rsidRPr="002F497F" w14:paraId="1C16E374" w14:textId="77777777" w:rsidTr="00EE70A6">
        <w:trPr>
          <w:trHeight w:val="234"/>
        </w:trPr>
        <w:tc>
          <w:tcPr>
            <w:tcW w:w="9462" w:type="dxa"/>
          </w:tcPr>
          <w:p w14:paraId="0189BCA6" w14:textId="2FB47A16" w:rsidR="00576926" w:rsidRPr="002F497F" w:rsidRDefault="00576926" w:rsidP="00EE70A6">
            <w:pPr>
              <w:pStyle w:val="Antrat"/>
              <w:keepNext/>
              <w:jc w:val="both"/>
              <w:rPr>
                <w:i w:val="0"/>
                <w:iCs w:val="0"/>
                <w:color w:val="auto"/>
                <w:sz w:val="20"/>
                <w:szCs w:val="20"/>
                <w:lang w:val="lt-LT"/>
              </w:rPr>
            </w:pPr>
            <w:r w:rsidRPr="002F497F">
              <w:rPr>
                <w:i w:val="0"/>
                <w:iCs w:val="0"/>
                <w:color w:val="auto"/>
                <w:sz w:val="20"/>
                <w:szCs w:val="20"/>
                <w:lang w:val="lt-LT"/>
              </w:rPr>
              <w:t xml:space="preserve">2 </w:t>
            </w:r>
            <w:r w:rsidR="00584C6B" w:rsidRPr="002F497F">
              <w:rPr>
                <w:i w:val="0"/>
                <w:iCs w:val="0"/>
                <w:color w:val="auto"/>
                <w:sz w:val="20"/>
                <w:szCs w:val="20"/>
                <w:lang w:val="lt-LT"/>
              </w:rPr>
              <w:t>p</w:t>
            </w:r>
            <w:r w:rsidRPr="002F497F">
              <w:rPr>
                <w:i w:val="0"/>
                <w:iCs w:val="0"/>
                <w:color w:val="auto"/>
                <w:sz w:val="20"/>
                <w:szCs w:val="20"/>
                <w:lang w:val="lt-LT"/>
              </w:rPr>
              <w:t>av. Skirtumas tarp skirting</w:t>
            </w:r>
            <w:r w:rsidR="00584C6B" w:rsidRPr="002F497F">
              <w:rPr>
                <w:i w:val="0"/>
                <w:iCs w:val="0"/>
                <w:color w:val="auto"/>
                <w:sz w:val="20"/>
                <w:szCs w:val="20"/>
                <w:lang w:val="lt-LT"/>
              </w:rPr>
              <w:t>ų</w:t>
            </w:r>
            <w:r w:rsidRPr="002F497F">
              <w:rPr>
                <w:i w:val="0"/>
                <w:iCs w:val="0"/>
                <w:color w:val="auto"/>
                <w:sz w:val="20"/>
                <w:szCs w:val="20"/>
                <w:lang w:val="lt-LT"/>
              </w:rPr>
              <w:t xml:space="preserve"> </w:t>
            </w:r>
            <w:r w:rsidR="00584C6B" w:rsidRPr="002F497F">
              <w:rPr>
                <w:i w:val="0"/>
                <w:iCs w:val="0"/>
                <w:color w:val="auto"/>
                <w:sz w:val="20"/>
                <w:szCs w:val="20"/>
                <w:lang w:val="lt-LT"/>
              </w:rPr>
              <w:t xml:space="preserve">rūšių </w:t>
            </w:r>
            <w:r w:rsidRPr="002F497F">
              <w:rPr>
                <w:i w:val="0"/>
                <w:iCs w:val="0"/>
                <w:color w:val="auto"/>
                <w:sz w:val="20"/>
                <w:szCs w:val="20"/>
                <w:lang w:val="lt-LT"/>
              </w:rPr>
              <w:t>kur</w:t>
            </w:r>
            <w:r w:rsidR="00584C6B" w:rsidRPr="002F497F">
              <w:rPr>
                <w:i w:val="0"/>
                <w:iCs w:val="0"/>
                <w:color w:val="auto"/>
                <w:sz w:val="20"/>
                <w:szCs w:val="20"/>
                <w:lang w:val="lt-LT"/>
              </w:rPr>
              <w:t>ui</w:t>
            </w:r>
            <w:r w:rsidRPr="002F497F">
              <w:rPr>
                <w:i w:val="0"/>
                <w:iCs w:val="0"/>
                <w:color w:val="auto"/>
                <w:sz w:val="20"/>
                <w:szCs w:val="20"/>
                <w:lang w:val="lt-LT"/>
              </w:rPr>
              <w:t xml:space="preserve"> Lietuvoje taikomo akcizo tarifo ir atitinkamo vidutinio akcizo tarifo ES</w:t>
            </w:r>
          </w:p>
        </w:tc>
      </w:tr>
      <w:tr w:rsidR="00576926" w:rsidRPr="002F497F" w14:paraId="40B3390D" w14:textId="77777777" w:rsidTr="00EE70A6">
        <w:trPr>
          <w:trHeight w:val="3758"/>
        </w:trPr>
        <w:tc>
          <w:tcPr>
            <w:tcW w:w="9462" w:type="dxa"/>
          </w:tcPr>
          <w:p w14:paraId="3520A6FE" w14:textId="77777777" w:rsidR="00576926" w:rsidRPr="002F497F" w:rsidRDefault="00576926" w:rsidP="00EE70A6">
            <w:pPr>
              <w:tabs>
                <w:tab w:val="left" w:pos="6765"/>
              </w:tabs>
              <w:spacing w:after="120" w:line="360" w:lineRule="auto"/>
              <w:jc w:val="both"/>
              <w:rPr>
                <w:color w:val="E31C48"/>
                <w:lang w:val="lt-LT"/>
              </w:rPr>
            </w:pPr>
            <w:r w:rsidRPr="002F497F">
              <w:rPr>
                <w:noProof/>
                <w:lang w:val="lt-LT"/>
              </w:rPr>
              <w:drawing>
                <wp:inline distT="0" distB="0" distL="0" distR="0" wp14:anchorId="36A07097" wp14:editId="754A6C14">
                  <wp:extent cx="6181090" cy="2484000"/>
                  <wp:effectExtent l="0" t="0" r="0" b="12065"/>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7D301A9-3753-440E-8ACB-585694785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3AA4BD14" w14:textId="2259F9C2" w:rsidR="00EE70A6" w:rsidRPr="002F497F" w:rsidRDefault="00EE70A6" w:rsidP="00A667E3">
      <w:pPr>
        <w:spacing w:after="240"/>
        <w:ind w:firstLine="709"/>
        <w:jc w:val="both"/>
        <w:rPr>
          <w:lang w:val="lt-LT"/>
        </w:rPr>
      </w:pPr>
      <w:r w:rsidRPr="002F497F">
        <w:rPr>
          <w:b/>
          <w:bCs/>
          <w:lang w:val="lt-LT"/>
        </w:rPr>
        <w:t>Mokestiniai pakeitimai kilstels apmokestinamų produktų kainas ir paveiks Lietuvos BVP bei infliacijos raidą.</w:t>
      </w:r>
      <w:r w:rsidRPr="002F497F">
        <w:rPr>
          <w:lang w:val="lt-LT"/>
        </w:rPr>
        <w:t xml:space="preserve"> Vertinama, kad akcizų pakeitimai ir CO</w:t>
      </w:r>
      <w:r w:rsidRPr="002F497F">
        <w:rPr>
          <w:vertAlign w:val="subscript"/>
          <w:lang w:val="lt-LT"/>
        </w:rPr>
        <w:t>2</w:t>
      </w:r>
      <w:r w:rsidRPr="002F497F">
        <w:rPr>
          <w:lang w:val="lt-LT"/>
        </w:rPr>
        <w:t xml:space="preserve"> dedamosios įvedimas 2023–2025 m. laikotarpiu realųjį BVP augimą iki 2028 m. sumažins 0,2 proc. p</w:t>
      </w:r>
      <w:r w:rsidR="00584C6B" w:rsidRPr="002F497F">
        <w:rPr>
          <w:lang w:val="lt-LT"/>
        </w:rPr>
        <w:t>.</w:t>
      </w:r>
      <w:r w:rsidRPr="002F497F">
        <w:rPr>
          <w:lang w:val="lt-LT"/>
        </w:rPr>
        <w:t>, palyginti su scenarijumi, kai tokie pakeitimai nebūtų daromi. Infliacijos atveju akcizų pakeitimai 2023 ir 2024 m. infliaciją padidins po 0,1 proc. p., o 2025 m. akcizai kartu su įvedama CO</w:t>
      </w:r>
      <w:r w:rsidRPr="002F497F">
        <w:rPr>
          <w:vertAlign w:val="subscript"/>
          <w:lang w:val="lt-LT"/>
        </w:rPr>
        <w:t>2</w:t>
      </w:r>
      <w:r w:rsidRPr="002F497F">
        <w:rPr>
          <w:lang w:val="lt-LT"/>
        </w:rPr>
        <w:t xml:space="preserve"> dedamąj</w:t>
      </w:r>
      <w:r w:rsidR="00584C6B" w:rsidRPr="002F497F">
        <w:rPr>
          <w:lang w:val="lt-LT"/>
        </w:rPr>
        <w:t>a</w:t>
      </w:r>
      <w:r w:rsidRPr="002F497F">
        <w:rPr>
          <w:lang w:val="lt-LT"/>
        </w:rPr>
        <w:t xml:space="preserve"> infliaciją pakels apie 0,3 proc. p. Svarbu atkreipti dėmesį, kad įtaka realiojo BVP augimui ir infliacijai buvo įvertinta neatsižvelgiant į galimus gyventojų elgsenos pokyčius, o infliacijos atveju nebuvo įvertinta ir kainų pokyčio verslui įtaka bei netiesioginiai efektai.  </w:t>
      </w:r>
    </w:p>
    <w:p w14:paraId="67D59305" w14:textId="0D53B8C7" w:rsidR="00F072AA" w:rsidRPr="002F497F" w:rsidRDefault="00F264DF" w:rsidP="00391BB2">
      <w:pPr>
        <w:spacing w:after="120"/>
        <w:ind w:firstLine="709"/>
        <w:jc w:val="both"/>
        <w:rPr>
          <w:lang w:val="lt-LT"/>
        </w:rPr>
      </w:pPr>
      <w:r w:rsidRPr="002F497F">
        <w:rPr>
          <w:b/>
          <w:bCs/>
          <w:lang w:val="lt-LT"/>
        </w:rPr>
        <w:t xml:space="preserve">Siekiant įgyvendinti klimato kaitos švelninimo tikslus, reikalingos kompleksinės priemonės. </w:t>
      </w:r>
      <w:r w:rsidRPr="002F497F">
        <w:rPr>
          <w:lang w:val="lt-LT"/>
        </w:rPr>
        <w:t>Didžiausią įtaką gyventojų elgsenai bus galima pasiekti, kai bus taikomi ne tik CO</w:t>
      </w:r>
      <w:r w:rsidRPr="002F497F">
        <w:rPr>
          <w:vertAlign w:val="subscript"/>
          <w:lang w:val="lt-LT"/>
        </w:rPr>
        <w:t>2</w:t>
      </w:r>
      <w:r w:rsidRPr="002F497F">
        <w:rPr>
          <w:lang w:val="lt-LT"/>
        </w:rPr>
        <w:t xml:space="preserve"> mokesčiai energiniams produktams, tačiau papildomai kuriamos paskatos įsigyti mažiau taršų transportą, vystoma patogi viešojo transporto infrastruktūra ir įgyvendinamos kitos energijos vartojimo intensyvumą ir taršą mažinančios bei taršos kontrolę užtikrinančios investicijos, pavyzdžiui, investicijos į išmaniųjų priemonių kūrimą ir jų pritaikymą nustatant aplinkos taršą (atliekų, nuotekų, transporto ir kt.).</w:t>
      </w:r>
    </w:p>
    <w:p w14:paraId="5FE46350" w14:textId="57C2D6AB" w:rsidR="001E55A8" w:rsidRPr="002F497F" w:rsidRDefault="001E55A8" w:rsidP="004072A9">
      <w:pPr>
        <w:rPr>
          <w:lang w:val="lt-LT"/>
        </w:rPr>
      </w:pPr>
    </w:p>
    <w:p w14:paraId="68B23975" w14:textId="18532775" w:rsidR="001E55A8" w:rsidRPr="002F497F" w:rsidRDefault="001E55A8" w:rsidP="004072A9">
      <w:pPr>
        <w:rPr>
          <w:lang w:val="lt-LT"/>
        </w:rPr>
      </w:pPr>
    </w:p>
    <w:p w14:paraId="491D60D6" w14:textId="0718C777" w:rsidR="001E55A8" w:rsidRPr="002F497F" w:rsidRDefault="001E55A8" w:rsidP="004072A9">
      <w:pPr>
        <w:rPr>
          <w:lang w:val="lt-LT"/>
        </w:rPr>
      </w:pPr>
    </w:p>
    <w:p w14:paraId="5CA8CBEA" w14:textId="52A3A5E0" w:rsidR="001E55A8" w:rsidRPr="002F497F" w:rsidRDefault="001E55A8" w:rsidP="004072A9">
      <w:pPr>
        <w:rPr>
          <w:lang w:val="lt-LT"/>
        </w:rPr>
      </w:pPr>
    </w:p>
    <w:p w14:paraId="6B1F625B" w14:textId="2E0D310D" w:rsidR="001E55A8" w:rsidRPr="002F497F" w:rsidRDefault="001E55A8" w:rsidP="004072A9">
      <w:pPr>
        <w:rPr>
          <w:lang w:val="lt-LT"/>
        </w:rPr>
      </w:pPr>
    </w:p>
    <w:p w14:paraId="4B1F7A17" w14:textId="119BB14E" w:rsidR="001E55A8" w:rsidRPr="002F497F" w:rsidRDefault="001E55A8" w:rsidP="004072A9">
      <w:pPr>
        <w:rPr>
          <w:lang w:val="lt-LT"/>
        </w:rPr>
      </w:pPr>
    </w:p>
    <w:p w14:paraId="1CEDB4DC" w14:textId="66402640" w:rsidR="001E55A8" w:rsidRPr="002F497F" w:rsidRDefault="001E55A8" w:rsidP="004072A9">
      <w:pPr>
        <w:rPr>
          <w:lang w:val="lt-LT"/>
        </w:rPr>
      </w:pPr>
    </w:p>
    <w:p w14:paraId="46084648" w14:textId="467D1A9D" w:rsidR="001E55A8" w:rsidRPr="002F497F" w:rsidRDefault="001E55A8" w:rsidP="004072A9">
      <w:pPr>
        <w:rPr>
          <w:lang w:val="lt-LT"/>
        </w:rPr>
      </w:pPr>
    </w:p>
    <w:p w14:paraId="4872C670" w14:textId="76338283" w:rsidR="001E55A8" w:rsidRPr="002F497F" w:rsidRDefault="001E55A8" w:rsidP="004072A9">
      <w:pPr>
        <w:rPr>
          <w:lang w:val="lt-LT"/>
        </w:rPr>
      </w:pPr>
    </w:p>
    <w:tbl>
      <w:tblPr>
        <w:tblStyle w:val="Lentelstinklelis"/>
        <w:tblpPr w:leftFromText="180" w:rightFromText="180" w:vertAnchor="text" w:horzAnchor="margin" w:tblpYSpec="center"/>
        <w:tblOverlap w:val="never"/>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7"/>
      </w:tblGrid>
      <w:tr w:rsidR="0099718C" w:rsidRPr="002F497F" w14:paraId="6A3988D6" w14:textId="77777777" w:rsidTr="0099718C">
        <w:trPr>
          <w:trHeight w:val="203"/>
        </w:trPr>
        <w:tc>
          <w:tcPr>
            <w:tcW w:w="9667" w:type="dxa"/>
          </w:tcPr>
          <w:p w14:paraId="04DB402C" w14:textId="70CF3AE0" w:rsidR="0099718C" w:rsidRPr="002F497F" w:rsidRDefault="0099718C" w:rsidP="007E49A8">
            <w:pPr>
              <w:keepNext/>
              <w:spacing w:after="120"/>
              <w:jc w:val="both"/>
              <w:rPr>
                <w:bCs/>
                <w:color w:val="00B07D"/>
                <w:sz w:val="18"/>
                <w:szCs w:val="18"/>
                <w:lang w:val="lt-LT"/>
              </w:rPr>
            </w:pPr>
            <w:r w:rsidRPr="002F497F">
              <w:rPr>
                <w:bCs/>
                <w:color w:val="000000" w:themeColor="text1"/>
                <w:lang w:val="lt-LT"/>
              </w:rPr>
              <w:t>3 pav. Efektyvieji CO</w:t>
            </w:r>
            <w:r w:rsidRPr="002F497F">
              <w:rPr>
                <w:bCs/>
                <w:color w:val="000000" w:themeColor="text1"/>
                <w:vertAlign w:val="subscript"/>
                <w:lang w:val="lt-LT"/>
              </w:rPr>
              <w:t>2</w:t>
            </w:r>
            <w:r w:rsidRPr="002F497F">
              <w:rPr>
                <w:bCs/>
                <w:color w:val="000000" w:themeColor="text1"/>
                <w:lang w:val="lt-LT"/>
              </w:rPr>
              <w:t xml:space="preserve"> mokesčiai ES valstybėse 2021 m. ir efektyvieji Lietuvos CO</w:t>
            </w:r>
            <w:r w:rsidRPr="002F497F">
              <w:rPr>
                <w:bCs/>
                <w:color w:val="000000" w:themeColor="text1"/>
                <w:vertAlign w:val="subscript"/>
                <w:lang w:val="lt-LT"/>
              </w:rPr>
              <w:t>2</w:t>
            </w:r>
            <w:r w:rsidRPr="002F497F">
              <w:rPr>
                <w:bCs/>
                <w:color w:val="000000" w:themeColor="text1"/>
                <w:lang w:val="lt-LT"/>
              </w:rPr>
              <w:t xml:space="preserve"> dedamosios tarifai 2025</w:t>
            </w:r>
            <w:r w:rsidR="00042C0E" w:rsidRPr="002F497F">
              <w:rPr>
                <w:bCs/>
                <w:color w:val="000000" w:themeColor="text1"/>
                <w:lang w:val="lt-LT"/>
              </w:rPr>
              <w:t>–</w:t>
            </w:r>
            <w:r w:rsidRPr="002F497F">
              <w:rPr>
                <w:bCs/>
                <w:color w:val="000000" w:themeColor="text1"/>
                <w:lang w:val="lt-LT"/>
              </w:rPr>
              <w:t>2030 m.</w:t>
            </w:r>
          </w:p>
        </w:tc>
      </w:tr>
      <w:tr w:rsidR="0099718C" w:rsidRPr="002F497F" w14:paraId="0062B05A" w14:textId="77777777" w:rsidTr="0099718C">
        <w:trPr>
          <w:trHeight w:val="3268"/>
        </w:trPr>
        <w:tc>
          <w:tcPr>
            <w:tcW w:w="9667" w:type="dxa"/>
          </w:tcPr>
          <w:p w14:paraId="3C436411" w14:textId="77777777" w:rsidR="0099718C" w:rsidRPr="002F497F" w:rsidRDefault="0099718C" w:rsidP="007E49A8">
            <w:pPr>
              <w:tabs>
                <w:tab w:val="left" w:pos="6765"/>
              </w:tabs>
              <w:spacing w:after="120" w:line="360" w:lineRule="auto"/>
              <w:jc w:val="both"/>
              <w:rPr>
                <w:color w:val="E31C48"/>
                <w:lang w:val="lt-LT"/>
              </w:rPr>
            </w:pPr>
            <w:r w:rsidRPr="002F497F">
              <w:rPr>
                <w:noProof/>
                <w:lang w:val="lt-LT"/>
              </w:rPr>
              <w:drawing>
                <wp:inline distT="0" distB="0" distL="0" distR="0" wp14:anchorId="65142DCE" wp14:editId="12E87B65">
                  <wp:extent cx="6001385" cy="28800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0265B64-7562-4637-A031-321215142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tbl>
      <w:tblPr>
        <w:tblW w:w="9498" w:type="dxa"/>
        <w:tblLayout w:type="fixed"/>
        <w:tblLook w:val="0000" w:firstRow="0" w:lastRow="0" w:firstColumn="0" w:lastColumn="0" w:noHBand="0" w:noVBand="0"/>
      </w:tblPr>
      <w:tblGrid>
        <w:gridCol w:w="4695"/>
        <w:gridCol w:w="4803"/>
      </w:tblGrid>
      <w:tr w:rsidR="00F546CB" w:rsidRPr="002F497F" w14:paraId="55D3A533" w14:textId="77777777" w:rsidTr="00F546CB">
        <w:tc>
          <w:tcPr>
            <w:tcW w:w="4695" w:type="dxa"/>
          </w:tcPr>
          <w:p w14:paraId="02429198" w14:textId="77777777" w:rsidR="00F546CB" w:rsidRPr="002F497F" w:rsidRDefault="00F546CB" w:rsidP="00BE1209">
            <w:pPr>
              <w:rPr>
                <w:lang w:val="lt-LT"/>
              </w:rPr>
            </w:pPr>
            <w:r w:rsidRPr="002F497F">
              <w:rPr>
                <w:lang w:val="lt-LT"/>
              </w:rPr>
              <w:fldChar w:fldCharType="begin"/>
            </w:r>
            <w:r w:rsidRPr="002F497F">
              <w:rPr>
                <w:lang w:val="lt-LT"/>
              </w:rPr>
              <w:instrText xml:space="preserve"> DOCPROPERTY  "pas_pareigos" </w:instrText>
            </w:r>
            <w:r w:rsidRPr="002F497F">
              <w:rPr>
                <w:lang w:val="lt-LT"/>
              </w:rPr>
              <w:fldChar w:fldCharType="separate"/>
            </w:r>
            <w:r w:rsidRPr="002F497F">
              <w:rPr>
                <w:lang w:val="lt-LT"/>
              </w:rPr>
              <w:t>    </w:t>
            </w:r>
            <w:r w:rsidRPr="002F497F">
              <w:rPr>
                <w:lang w:val="lt-LT"/>
              </w:rPr>
              <w:fldChar w:fldCharType="end"/>
            </w:r>
          </w:p>
        </w:tc>
        <w:tc>
          <w:tcPr>
            <w:tcW w:w="4803" w:type="dxa"/>
          </w:tcPr>
          <w:p w14:paraId="4ED82A17" w14:textId="77777777" w:rsidR="00F546CB" w:rsidRPr="002F497F" w:rsidRDefault="00F546CB" w:rsidP="00BE1209">
            <w:pPr>
              <w:pStyle w:val="Antrat3"/>
              <w:jc w:val="right"/>
              <w:rPr>
                <w:sz w:val="20"/>
              </w:rPr>
            </w:pPr>
            <w:r w:rsidRPr="002F497F">
              <w:rPr>
                <w:sz w:val="20"/>
              </w:rPr>
              <w:fldChar w:fldCharType="begin"/>
            </w:r>
            <w:r w:rsidRPr="002F497F">
              <w:rPr>
                <w:sz w:val="20"/>
              </w:rPr>
              <w:instrText xml:space="preserve"> DOCPROPERTY  "dok_pasirase" </w:instrText>
            </w:r>
            <w:r w:rsidRPr="002F497F">
              <w:rPr>
                <w:sz w:val="20"/>
              </w:rPr>
              <w:fldChar w:fldCharType="separate"/>
            </w:r>
            <w:r w:rsidRPr="002F497F">
              <w:rPr>
                <w:sz w:val="20"/>
              </w:rPr>
              <w:t>    </w:t>
            </w:r>
            <w:r w:rsidRPr="002F497F">
              <w:rPr>
                <w:sz w:val="20"/>
              </w:rPr>
              <w:fldChar w:fldCharType="end"/>
            </w:r>
          </w:p>
        </w:tc>
      </w:tr>
    </w:tbl>
    <w:p w14:paraId="3122D4E6" w14:textId="08913D43" w:rsidR="001E55A8" w:rsidRPr="002F497F" w:rsidRDefault="001E55A8" w:rsidP="001E55A8">
      <w:pPr>
        <w:rPr>
          <w:lang w:val="lt-LT"/>
        </w:rPr>
      </w:pPr>
    </w:p>
    <w:p w14:paraId="46E7F80D" w14:textId="77777777" w:rsidR="00F546CB" w:rsidRPr="002F497F" w:rsidRDefault="00F546CB" w:rsidP="001E55A8">
      <w:pPr>
        <w:rPr>
          <w:lang w:val="lt-LT"/>
        </w:rPr>
      </w:pPr>
    </w:p>
    <w:p w14:paraId="7D8F6C81" w14:textId="77777777" w:rsidR="00F546CB" w:rsidRPr="002F497F" w:rsidRDefault="00F546CB" w:rsidP="001E55A8">
      <w:pPr>
        <w:rPr>
          <w:lang w:val="lt-LT"/>
        </w:rPr>
      </w:pPr>
    </w:p>
    <w:p w14:paraId="158336D4" w14:textId="77777777" w:rsidR="00F546CB" w:rsidRPr="002F497F" w:rsidRDefault="00F546CB" w:rsidP="001E55A8">
      <w:pPr>
        <w:rPr>
          <w:lang w:val="lt-LT"/>
        </w:rPr>
      </w:pPr>
    </w:p>
    <w:p w14:paraId="20A75533" w14:textId="77777777" w:rsidR="00F546CB" w:rsidRPr="002F497F" w:rsidRDefault="00F546CB" w:rsidP="001E55A8">
      <w:pPr>
        <w:rPr>
          <w:lang w:val="lt-LT"/>
        </w:rPr>
      </w:pPr>
    </w:p>
    <w:p w14:paraId="0F3C062F" w14:textId="77777777" w:rsidR="00F546CB" w:rsidRPr="002F497F" w:rsidRDefault="00F546CB" w:rsidP="001E55A8">
      <w:pPr>
        <w:rPr>
          <w:lang w:val="lt-LT"/>
        </w:rPr>
      </w:pPr>
    </w:p>
    <w:p w14:paraId="21C2BB5E" w14:textId="77777777" w:rsidR="00F546CB" w:rsidRPr="002F497F" w:rsidRDefault="00F546CB" w:rsidP="001E55A8">
      <w:pPr>
        <w:rPr>
          <w:lang w:val="lt-LT"/>
        </w:rPr>
      </w:pPr>
    </w:p>
    <w:p w14:paraId="3D1350F9" w14:textId="77777777" w:rsidR="00F546CB" w:rsidRPr="002F497F" w:rsidRDefault="00F546CB" w:rsidP="001E55A8">
      <w:pPr>
        <w:rPr>
          <w:lang w:val="lt-LT"/>
        </w:rPr>
      </w:pPr>
    </w:p>
    <w:p w14:paraId="5376F669" w14:textId="77777777" w:rsidR="00F546CB" w:rsidRPr="002F497F" w:rsidRDefault="00F546CB" w:rsidP="001E55A8">
      <w:pPr>
        <w:rPr>
          <w:lang w:val="lt-LT"/>
        </w:rPr>
      </w:pPr>
    </w:p>
    <w:p w14:paraId="1BEB175D" w14:textId="77777777" w:rsidR="00F546CB" w:rsidRPr="002F497F" w:rsidRDefault="00F546CB" w:rsidP="001E55A8">
      <w:pPr>
        <w:rPr>
          <w:lang w:val="lt-LT"/>
        </w:rPr>
      </w:pPr>
    </w:p>
    <w:p w14:paraId="0EAB2950" w14:textId="77777777" w:rsidR="00F546CB" w:rsidRPr="002F497F" w:rsidRDefault="00F546CB" w:rsidP="001E55A8">
      <w:pPr>
        <w:rPr>
          <w:lang w:val="lt-LT"/>
        </w:rPr>
      </w:pPr>
    </w:p>
    <w:p w14:paraId="189661A4" w14:textId="77777777" w:rsidR="00F546CB" w:rsidRPr="002F497F" w:rsidRDefault="00F546CB" w:rsidP="001E55A8">
      <w:pPr>
        <w:rPr>
          <w:lang w:val="lt-LT"/>
        </w:rPr>
      </w:pPr>
    </w:p>
    <w:p w14:paraId="3365782A" w14:textId="77777777" w:rsidR="00F546CB" w:rsidRPr="002F497F" w:rsidRDefault="00F546CB" w:rsidP="001E55A8">
      <w:pPr>
        <w:rPr>
          <w:lang w:val="lt-LT"/>
        </w:rPr>
      </w:pPr>
    </w:p>
    <w:p w14:paraId="11F4BA38" w14:textId="77777777" w:rsidR="00F546CB" w:rsidRPr="002F497F" w:rsidRDefault="00F546CB" w:rsidP="001E55A8">
      <w:pPr>
        <w:rPr>
          <w:lang w:val="lt-LT"/>
        </w:rPr>
      </w:pPr>
    </w:p>
    <w:p w14:paraId="1F6FD232" w14:textId="77777777" w:rsidR="00F546CB" w:rsidRPr="002F497F" w:rsidRDefault="00F546CB" w:rsidP="001E55A8">
      <w:pPr>
        <w:rPr>
          <w:lang w:val="lt-LT"/>
        </w:rPr>
      </w:pPr>
    </w:p>
    <w:p w14:paraId="5F79A780" w14:textId="77777777" w:rsidR="00F546CB" w:rsidRPr="002F497F" w:rsidRDefault="00F546CB" w:rsidP="001E55A8">
      <w:pPr>
        <w:rPr>
          <w:lang w:val="lt-LT"/>
        </w:rPr>
      </w:pPr>
    </w:p>
    <w:p w14:paraId="1B732BF7" w14:textId="77777777" w:rsidR="00F546CB" w:rsidRPr="002F497F" w:rsidRDefault="00F546CB" w:rsidP="001E55A8">
      <w:pPr>
        <w:rPr>
          <w:lang w:val="lt-LT"/>
        </w:rPr>
      </w:pPr>
    </w:p>
    <w:p w14:paraId="05BC4977" w14:textId="77777777" w:rsidR="00F546CB" w:rsidRPr="002F497F" w:rsidRDefault="00F546CB" w:rsidP="001E55A8">
      <w:pPr>
        <w:rPr>
          <w:lang w:val="lt-LT"/>
        </w:rPr>
      </w:pPr>
    </w:p>
    <w:p w14:paraId="779CA540" w14:textId="77777777" w:rsidR="00F546CB" w:rsidRPr="002F497F" w:rsidRDefault="00F546CB" w:rsidP="001E55A8">
      <w:pPr>
        <w:rPr>
          <w:lang w:val="lt-LT"/>
        </w:rPr>
      </w:pPr>
    </w:p>
    <w:p w14:paraId="75C57051" w14:textId="77777777" w:rsidR="00F546CB" w:rsidRPr="002F497F" w:rsidRDefault="00F546CB" w:rsidP="001E55A8">
      <w:pPr>
        <w:rPr>
          <w:lang w:val="lt-LT"/>
        </w:rPr>
      </w:pPr>
    </w:p>
    <w:p w14:paraId="7AFF6FB7" w14:textId="77777777" w:rsidR="00F546CB" w:rsidRPr="002F497F" w:rsidRDefault="00F546CB" w:rsidP="001E55A8">
      <w:pPr>
        <w:rPr>
          <w:lang w:val="lt-LT"/>
        </w:rPr>
      </w:pPr>
    </w:p>
    <w:p w14:paraId="723704B2" w14:textId="77777777" w:rsidR="00F546CB" w:rsidRPr="002F497F" w:rsidRDefault="00F546CB" w:rsidP="001E55A8">
      <w:pPr>
        <w:rPr>
          <w:lang w:val="lt-LT"/>
        </w:rPr>
      </w:pPr>
    </w:p>
    <w:p w14:paraId="1F380529" w14:textId="77777777" w:rsidR="00F546CB" w:rsidRPr="002F497F" w:rsidRDefault="00F546CB" w:rsidP="001E55A8">
      <w:pPr>
        <w:rPr>
          <w:lang w:val="lt-LT"/>
        </w:rPr>
      </w:pPr>
    </w:p>
    <w:p w14:paraId="57710A85" w14:textId="77777777" w:rsidR="00F546CB" w:rsidRPr="002F497F" w:rsidRDefault="00F546CB" w:rsidP="001E55A8">
      <w:pPr>
        <w:rPr>
          <w:lang w:val="lt-LT"/>
        </w:rPr>
      </w:pPr>
    </w:p>
    <w:p w14:paraId="649AC00A" w14:textId="77777777" w:rsidR="00F546CB" w:rsidRPr="002F497F" w:rsidRDefault="00F546CB" w:rsidP="001E55A8">
      <w:pPr>
        <w:rPr>
          <w:lang w:val="lt-LT"/>
        </w:rPr>
      </w:pPr>
    </w:p>
    <w:p w14:paraId="109208B0" w14:textId="77777777" w:rsidR="00F546CB" w:rsidRPr="002F497F" w:rsidRDefault="00F546CB" w:rsidP="001E55A8">
      <w:pPr>
        <w:rPr>
          <w:lang w:val="lt-LT"/>
        </w:rPr>
      </w:pPr>
    </w:p>
    <w:p w14:paraId="124EA50D" w14:textId="77777777" w:rsidR="00F546CB" w:rsidRPr="002F497F" w:rsidRDefault="00F546CB" w:rsidP="001E55A8">
      <w:pPr>
        <w:rPr>
          <w:lang w:val="lt-LT"/>
        </w:rPr>
      </w:pPr>
    </w:p>
    <w:p w14:paraId="265EF3EB" w14:textId="77777777" w:rsidR="00F546CB" w:rsidRPr="002F497F" w:rsidRDefault="00F546CB" w:rsidP="001E55A8">
      <w:pPr>
        <w:rPr>
          <w:lang w:val="lt-LT"/>
        </w:rPr>
      </w:pPr>
    </w:p>
    <w:p w14:paraId="20AF5336" w14:textId="77777777" w:rsidR="00F546CB" w:rsidRPr="002F497F" w:rsidRDefault="00F546CB" w:rsidP="001E55A8">
      <w:pPr>
        <w:rPr>
          <w:lang w:val="lt-LT"/>
        </w:rPr>
      </w:pPr>
    </w:p>
    <w:p w14:paraId="0DC28111" w14:textId="39C50603" w:rsidR="001E55A8" w:rsidRPr="002F497F" w:rsidRDefault="001E55A8" w:rsidP="001E55A8">
      <w:r w:rsidRPr="002F497F">
        <w:rPr>
          <w:lang w:val="lt-LT"/>
        </w:rPr>
        <w:t xml:space="preserve">Laura </w:t>
      </w:r>
      <w:proofErr w:type="spellStart"/>
      <w:r w:rsidRPr="002F497F">
        <w:rPr>
          <w:lang w:val="lt-LT"/>
        </w:rPr>
        <w:t>Mociūnaitė</w:t>
      </w:r>
      <w:proofErr w:type="spellEnd"/>
      <w:r w:rsidRPr="002F497F">
        <w:rPr>
          <w:lang w:val="lt-LT"/>
        </w:rPr>
        <w:t xml:space="preserve">, tel. +370 659 </w:t>
      </w:r>
      <w:r w:rsidR="004072A9" w:rsidRPr="002F497F">
        <w:rPr>
          <w:lang w:val="lt-LT"/>
        </w:rPr>
        <w:t>53</w:t>
      </w:r>
      <w:r w:rsidR="00042C0E" w:rsidRPr="002F497F">
        <w:rPr>
          <w:lang w:val="lt-LT"/>
        </w:rPr>
        <w:t xml:space="preserve"> </w:t>
      </w:r>
      <w:r w:rsidR="004072A9" w:rsidRPr="002F497F">
        <w:rPr>
          <w:lang w:val="lt-LT"/>
        </w:rPr>
        <w:t>576</w:t>
      </w:r>
      <w:r w:rsidRPr="002F497F">
        <w:rPr>
          <w:lang w:val="lt-LT"/>
        </w:rPr>
        <w:t xml:space="preserve">, el. p. </w:t>
      </w:r>
      <w:hyperlink r:id="rId16" w:history="1">
        <w:r w:rsidRPr="002F497F">
          <w:rPr>
            <w:rStyle w:val="Hipersaitas"/>
            <w:lang w:val="lt-LT"/>
          </w:rPr>
          <w:t>lmociunaite</w:t>
        </w:r>
        <w:r w:rsidRPr="002F497F">
          <w:rPr>
            <w:rStyle w:val="Hipersaitas"/>
          </w:rPr>
          <w:t>@</w:t>
        </w:r>
        <w:proofErr w:type="spellStart"/>
        <w:r w:rsidRPr="002F497F">
          <w:rPr>
            <w:rStyle w:val="Hipersaitas"/>
          </w:rPr>
          <w:t>lb.lt</w:t>
        </w:r>
        <w:proofErr w:type="spellEnd"/>
      </w:hyperlink>
    </w:p>
    <w:p w14:paraId="67793CC8" w14:textId="3A612E6C" w:rsidR="001E55A8" w:rsidRPr="002F497F" w:rsidRDefault="001E55A8" w:rsidP="001E55A8">
      <w:r w:rsidRPr="002F497F">
        <w:t xml:space="preserve">Darius </w:t>
      </w:r>
      <w:proofErr w:type="spellStart"/>
      <w:r w:rsidRPr="002F497F">
        <w:t>Imbrasas</w:t>
      </w:r>
      <w:proofErr w:type="spellEnd"/>
      <w:r w:rsidRPr="002F497F">
        <w:t xml:space="preserve">, tel. +370 659 </w:t>
      </w:r>
      <w:r w:rsidR="004072A9" w:rsidRPr="002F497F">
        <w:t>53</w:t>
      </w:r>
      <w:r w:rsidR="00042C0E" w:rsidRPr="002F497F">
        <w:t xml:space="preserve"> </w:t>
      </w:r>
      <w:r w:rsidR="004072A9" w:rsidRPr="002F497F">
        <w:t>574</w:t>
      </w:r>
      <w:r w:rsidRPr="002F497F">
        <w:t xml:space="preserve">, el. </w:t>
      </w:r>
      <w:r w:rsidR="00732829" w:rsidRPr="002F497F">
        <w:t>p</w:t>
      </w:r>
      <w:r w:rsidRPr="002F497F">
        <w:t xml:space="preserve">. </w:t>
      </w:r>
      <w:hyperlink r:id="rId17" w:history="1">
        <w:r w:rsidRPr="002F497F">
          <w:rPr>
            <w:rStyle w:val="Hipersaitas"/>
          </w:rPr>
          <w:t>dimbrasas@lb.lt</w:t>
        </w:r>
      </w:hyperlink>
    </w:p>
    <w:p w14:paraId="6C08F8EF" w14:textId="3E3DB6FE" w:rsidR="004072A9" w:rsidRPr="001A56C9" w:rsidRDefault="00EE3A2F" w:rsidP="004072A9">
      <w:pPr>
        <w:rPr>
          <w:lang w:val="lt-LT"/>
        </w:rPr>
      </w:pPr>
      <w:r w:rsidRPr="002F497F">
        <w:rPr>
          <w:lang w:val="lt-LT"/>
        </w:rPr>
        <w:lastRenderedPageBreak/>
        <w:t xml:space="preserve">Modestas </w:t>
      </w:r>
      <w:proofErr w:type="spellStart"/>
      <w:r w:rsidRPr="002F497F">
        <w:rPr>
          <w:lang w:val="lt-LT"/>
        </w:rPr>
        <w:t>Stukas</w:t>
      </w:r>
      <w:proofErr w:type="spellEnd"/>
      <w:r w:rsidRPr="002F497F">
        <w:rPr>
          <w:lang w:val="lt-LT"/>
        </w:rPr>
        <w:t>, tel. +370 659 41</w:t>
      </w:r>
      <w:r w:rsidR="00042C0E" w:rsidRPr="002F497F">
        <w:rPr>
          <w:lang w:val="lt-LT"/>
        </w:rPr>
        <w:t xml:space="preserve"> </w:t>
      </w:r>
      <w:r w:rsidRPr="002F497F">
        <w:rPr>
          <w:lang w:val="lt-LT"/>
        </w:rPr>
        <w:t xml:space="preserve">694, el. p. </w:t>
      </w:r>
      <w:hyperlink r:id="rId18" w:history="1">
        <w:r w:rsidRPr="002F497F">
          <w:rPr>
            <w:rStyle w:val="Hipersaitas"/>
            <w:lang w:val="lt-LT"/>
          </w:rPr>
          <w:t>mstukas@lb.lt</w:t>
        </w:r>
      </w:hyperlink>
      <w:r>
        <w:rPr>
          <w:lang w:val="lt-LT"/>
        </w:rPr>
        <w:t xml:space="preserve"> </w:t>
      </w:r>
    </w:p>
    <w:sectPr w:rsidR="004072A9" w:rsidRPr="001A56C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9D679" w14:textId="77777777" w:rsidR="000E5B1E" w:rsidRDefault="000E5B1E" w:rsidP="005D7B06">
      <w:r>
        <w:separator/>
      </w:r>
    </w:p>
  </w:endnote>
  <w:endnote w:type="continuationSeparator" w:id="0">
    <w:p w14:paraId="51BA9A01" w14:textId="77777777" w:rsidR="000E5B1E" w:rsidRDefault="000E5B1E" w:rsidP="005D7B06">
      <w:r>
        <w:continuationSeparator/>
      </w:r>
    </w:p>
  </w:endnote>
  <w:endnote w:type="continuationNotice" w:id="1">
    <w:p w14:paraId="31CBE905" w14:textId="77777777" w:rsidR="000E5B1E" w:rsidRDefault="000E5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B71C3" w14:textId="77777777" w:rsidR="000E5B1E" w:rsidRDefault="000E5B1E" w:rsidP="005D7B06">
      <w:r>
        <w:separator/>
      </w:r>
    </w:p>
  </w:footnote>
  <w:footnote w:type="continuationSeparator" w:id="0">
    <w:p w14:paraId="742CFD68" w14:textId="77777777" w:rsidR="000E5B1E" w:rsidRDefault="000E5B1E" w:rsidP="005D7B06">
      <w:r>
        <w:continuationSeparator/>
      </w:r>
    </w:p>
  </w:footnote>
  <w:footnote w:type="continuationNotice" w:id="1">
    <w:p w14:paraId="5FB80A5E" w14:textId="77777777" w:rsidR="000E5B1E" w:rsidRDefault="000E5B1E"/>
  </w:footnote>
  <w:footnote w:id="2">
    <w:p w14:paraId="686C8370" w14:textId="4BD470E2" w:rsidR="000E5B1E" w:rsidRPr="007F7B65" w:rsidRDefault="000E5B1E">
      <w:pPr>
        <w:pStyle w:val="Puslapioinaostekstas"/>
        <w:rPr>
          <w:lang w:val="lt-LT"/>
        </w:rPr>
      </w:pPr>
      <w:r>
        <w:rPr>
          <w:rStyle w:val="Puslapioinaosnuoroda"/>
        </w:rPr>
        <w:footnoteRef/>
      </w:r>
      <w:r>
        <w:t xml:space="preserve"> </w:t>
      </w:r>
      <w:hyperlink r:id="rId1" w:history="1">
        <w:r w:rsidRPr="001B1032">
          <w:rPr>
            <w:rStyle w:val="Hipersaitas"/>
            <w:sz w:val="16"/>
            <w:szCs w:val="16"/>
          </w:rPr>
          <w:t>https://www.imf.org/en/Publications/FM/Issues/2019/09/12/fiscal-monitor-october-2019</w:t>
        </w:r>
      </w:hyperlink>
      <w:r w:rsidR="007F2D39">
        <w:rPr>
          <w:rStyle w:val="Hipersaitas"/>
          <w:sz w:val="16"/>
          <w:szCs w:val="16"/>
        </w:rPr>
        <w:t>.</w:t>
      </w:r>
    </w:p>
  </w:footnote>
  <w:footnote w:id="3">
    <w:p w14:paraId="69EE8FD0" w14:textId="2FFB738E" w:rsidR="000E5B1E" w:rsidRPr="00464EF4" w:rsidRDefault="000E5B1E" w:rsidP="006F7C86">
      <w:pPr>
        <w:pStyle w:val="Puslapioinaostekstas"/>
        <w:rPr>
          <w:lang w:val="lt-LT"/>
        </w:rPr>
      </w:pPr>
      <w:r>
        <w:rPr>
          <w:rStyle w:val="Puslapioinaosnuoroda"/>
        </w:rPr>
        <w:footnoteRef/>
      </w:r>
      <w:r>
        <w:t xml:space="preserve"> </w:t>
      </w:r>
      <w:hyperlink r:id="rId2" w:history="1">
        <w:r w:rsidRPr="00464EF4">
          <w:rPr>
            <w:rStyle w:val="Hipersaitas"/>
            <w:sz w:val="16"/>
            <w:szCs w:val="16"/>
          </w:rPr>
          <w:t>https://www.oecd-ilibrary.org/environment/exploring-the-relationship-between-environmentally-related-taxes-and-inequality-in-income-sources_5jm3mbfzkrzp-en;jsessionid=jkC1F51ujb0riqhGH_TXws7n.ip-10-240-5-76</w:t>
        </w:r>
      </w:hyperlink>
      <w:r w:rsidR="007F2D39">
        <w:rPr>
          <w:rStyle w:val="Hipersaitas"/>
          <w:sz w:val="16"/>
          <w:szCs w:val="16"/>
        </w:rPr>
        <w:t>.</w:t>
      </w:r>
      <w:r w:rsidRPr="00464EF4">
        <w:rPr>
          <w:sz w:val="16"/>
          <w:szCs w:val="16"/>
        </w:rPr>
        <w:t xml:space="preserve"> </w:t>
      </w:r>
    </w:p>
  </w:footnote>
  <w:footnote w:id="4">
    <w:p w14:paraId="6668126A" w14:textId="1196B1F1" w:rsidR="001A56C9" w:rsidRPr="00EE3A2F" w:rsidRDefault="001A56C9">
      <w:pPr>
        <w:pStyle w:val="Puslapioinaostekstas"/>
        <w:rPr>
          <w:sz w:val="16"/>
          <w:szCs w:val="16"/>
          <w:lang w:val="lt-LT"/>
        </w:rPr>
      </w:pPr>
      <w:r>
        <w:rPr>
          <w:rStyle w:val="Puslapioinaosnuoroda"/>
        </w:rPr>
        <w:footnoteRef/>
      </w:r>
      <w:r>
        <w:t xml:space="preserve"> </w:t>
      </w:r>
      <w:proofErr w:type="spellStart"/>
      <w:r w:rsidRPr="00EE3A2F">
        <w:rPr>
          <w:sz w:val="16"/>
          <w:szCs w:val="16"/>
        </w:rPr>
        <w:t>Pavyzdžiui</w:t>
      </w:r>
      <w:proofErr w:type="spellEnd"/>
      <w:r w:rsidRPr="00EE3A2F">
        <w:rPr>
          <w:sz w:val="16"/>
          <w:szCs w:val="16"/>
        </w:rPr>
        <w:t xml:space="preserve">, </w:t>
      </w:r>
      <w:proofErr w:type="spellStart"/>
      <w:r w:rsidRPr="00EE3A2F">
        <w:rPr>
          <w:sz w:val="16"/>
          <w:szCs w:val="16"/>
        </w:rPr>
        <w:t>kaip</w:t>
      </w:r>
      <w:proofErr w:type="spellEnd"/>
      <w:r w:rsidRPr="00EE3A2F">
        <w:rPr>
          <w:sz w:val="16"/>
          <w:szCs w:val="16"/>
        </w:rPr>
        <w:t xml:space="preserve"> </w:t>
      </w:r>
      <w:proofErr w:type="gramStart"/>
      <w:r w:rsidRPr="00EE3A2F">
        <w:rPr>
          <w:sz w:val="16"/>
          <w:szCs w:val="16"/>
        </w:rPr>
        <w:t>tai</w:t>
      </w:r>
      <w:proofErr w:type="gramEnd"/>
      <w:r w:rsidRPr="00EE3A2F">
        <w:rPr>
          <w:sz w:val="16"/>
          <w:szCs w:val="16"/>
        </w:rPr>
        <w:t xml:space="preserve"> </w:t>
      </w:r>
      <w:proofErr w:type="spellStart"/>
      <w:r w:rsidRPr="00EE3A2F">
        <w:rPr>
          <w:sz w:val="16"/>
          <w:szCs w:val="16"/>
        </w:rPr>
        <w:t>įvertina</w:t>
      </w:r>
      <w:proofErr w:type="spellEnd"/>
      <w:r w:rsidRPr="00EE3A2F">
        <w:rPr>
          <w:sz w:val="16"/>
          <w:szCs w:val="16"/>
        </w:rPr>
        <w:t xml:space="preserve"> EBPO</w:t>
      </w:r>
      <w:r w:rsidR="00EE3A2F" w:rsidRPr="00EE3A2F">
        <w:rPr>
          <w:sz w:val="16"/>
          <w:szCs w:val="16"/>
        </w:rPr>
        <w:t xml:space="preserve"> (</w:t>
      </w:r>
      <w:proofErr w:type="spellStart"/>
      <w:r w:rsidR="00EE3A2F" w:rsidRPr="00EE3A2F">
        <w:rPr>
          <w:sz w:val="16"/>
          <w:szCs w:val="16"/>
        </w:rPr>
        <w:t>plačiau</w:t>
      </w:r>
      <w:proofErr w:type="spellEnd"/>
      <w:r w:rsidR="00EE3A2F" w:rsidRPr="00EE3A2F">
        <w:rPr>
          <w:sz w:val="16"/>
          <w:szCs w:val="16"/>
        </w:rPr>
        <w:t xml:space="preserve"> </w:t>
      </w:r>
      <w:proofErr w:type="spellStart"/>
      <w:r w:rsidR="00EE3A2F" w:rsidRPr="00EE3A2F">
        <w:rPr>
          <w:sz w:val="16"/>
          <w:szCs w:val="16"/>
        </w:rPr>
        <w:t>žr</w:t>
      </w:r>
      <w:proofErr w:type="spellEnd"/>
      <w:r w:rsidR="00EE3A2F" w:rsidRPr="00EE3A2F">
        <w:rPr>
          <w:sz w:val="16"/>
          <w:szCs w:val="16"/>
        </w:rPr>
        <w:t>.</w:t>
      </w:r>
      <w:r w:rsidR="006158C8">
        <w:rPr>
          <w:sz w:val="16"/>
          <w:szCs w:val="16"/>
        </w:rPr>
        <w:t xml:space="preserve"> </w:t>
      </w:r>
      <w:hyperlink r:id="rId3" w:history="1">
        <w:proofErr w:type="spellStart"/>
        <w:r w:rsidR="006158C8">
          <w:rPr>
            <w:rStyle w:val="Hipersaitas"/>
            <w:sz w:val="16"/>
            <w:szCs w:val="16"/>
          </w:rPr>
          <w:t>čia</w:t>
        </w:r>
        <w:proofErr w:type="spellEnd"/>
      </w:hyperlink>
      <w:r w:rsidR="00EE3A2F" w:rsidRPr="00EE3A2F">
        <w:rPr>
          <w:sz w:val="16"/>
          <w:szCs w:val="16"/>
          <w:lang w:val="lt-LT"/>
        </w:rPr>
        <w:t>)</w:t>
      </w:r>
      <w:r w:rsidR="007F2D39">
        <w:rPr>
          <w:sz w:val="16"/>
          <w:szCs w:val="16"/>
          <w:lang w:val="lt-LT"/>
        </w:rPr>
        <w:t>.</w:t>
      </w:r>
      <w:r w:rsidR="00EE3A2F" w:rsidRPr="00EE3A2F">
        <w:rPr>
          <w:sz w:val="16"/>
          <w:szCs w:val="16"/>
        </w:rPr>
        <w:t xml:space="preserve">  </w:t>
      </w:r>
    </w:p>
  </w:footnote>
  <w:footnote w:id="5">
    <w:p w14:paraId="172216AB" w14:textId="26221ABD" w:rsidR="000E5B1E" w:rsidRPr="005D7B06" w:rsidRDefault="000E5B1E">
      <w:pPr>
        <w:pStyle w:val="Puslapioinaostekstas"/>
        <w:rPr>
          <w:lang w:val="lt-LT"/>
        </w:rPr>
      </w:pPr>
      <w:r>
        <w:rPr>
          <w:rStyle w:val="Puslapioinaosnuoroda"/>
        </w:rPr>
        <w:footnoteRef/>
      </w:r>
      <w:r>
        <w:t xml:space="preserve"> </w:t>
      </w:r>
      <w:hyperlink r:id="rId4" w:history="1">
        <w:r w:rsidRPr="0062459F">
          <w:rPr>
            <w:rStyle w:val="Hipersaitas"/>
            <w:sz w:val="16"/>
            <w:szCs w:val="16"/>
          </w:rPr>
          <w:t>https://ec.europa.eu/info/sites/default/files/file_import/2019-european-semester-country-report-lithuania_lt.pdf</w:t>
        </w:r>
      </w:hyperlink>
      <w:r w:rsidR="007F2D39">
        <w:rPr>
          <w:rStyle w:val="Hipersaitas"/>
          <w:sz w:val="16"/>
          <w:szCs w:val="16"/>
        </w:rPr>
        <w:t>.</w:t>
      </w:r>
      <w:r w:rsidRPr="0062459F">
        <w:rPr>
          <w:sz w:val="16"/>
          <w:szCs w:val="16"/>
        </w:rPr>
        <w:t xml:space="preserve"> </w:t>
      </w:r>
    </w:p>
  </w:footnote>
  <w:footnote w:id="6">
    <w:p w14:paraId="6B1753A2" w14:textId="056887A6" w:rsidR="000E5B1E" w:rsidRDefault="000E5B1E" w:rsidP="002534C8">
      <w:pPr>
        <w:pStyle w:val="Puslapioinaostekstas"/>
      </w:pPr>
      <w:r>
        <w:rPr>
          <w:rStyle w:val="Puslapioinaosnuoroda"/>
        </w:rPr>
        <w:footnoteRef/>
      </w:r>
      <w:r>
        <w:t xml:space="preserve"> </w:t>
      </w:r>
      <w:hyperlink r:id="rId5" w:history="1">
        <w:r w:rsidRPr="003B2B8A">
          <w:rPr>
            <w:rStyle w:val="Hipersaitas"/>
            <w:sz w:val="16"/>
            <w:szCs w:val="16"/>
          </w:rPr>
          <w:t>https://www.oecd-ilibrary.org/sites/058ca239-en/index.html?itemId=/content/publication/058ca239-en</w:t>
        </w:r>
      </w:hyperlink>
      <w:r w:rsidR="007F2D39">
        <w:rPr>
          <w:rStyle w:val="Hipersaitas"/>
          <w:sz w:val="16"/>
          <w:szCs w:val="16"/>
        </w:rPr>
        <w:t>.</w:t>
      </w:r>
      <w:r w:rsidRPr="003B2B8A">
        <w:rPr>
          <w:sz w:val="16"/>
          <w:szCs w:val="16"/>
        </w:rPr>
        <w:t xml:space="preserve"> </w:t>
      </w:r>
    </w:p>
  </w:footnote>
  <w:footnote w:id="7">
    <w:p w14:paraId="394533BB" w14:textId="7DE6AE14" w:rsidR="000E5B1E" w:rsidRPr="00652B7A" w:rsidRDefault="000E5B1E">
      <w:pPr>
        <w:pStyle w:val="Puslapioinaostekstas"/>
        <w:rPr>
          <w:lang w:val="lt-LT"/>
        </w:rPr>
      </w:pPr>
      <w:r>
        <w:rPr>
          <w:rStyle w:val="Puslapioinaosnuoroda"/>
        </w:rPr>
        <w:footnoteRef/>
      </w:r>
      <w:r>
        <w:t xml:space="preserve"> </w:t>
      </w:r>
      <w:hyperlink r:id="rId6" w:history="1">
        <w:r w:rsidRPr="00A30776">
          <w:rPr>
            <w:rStyle w:val="Hipersaitas"/>
            <w:sz w:val="16"/>
            <w:szCs w:val="16"/>
          </w:rPr>
          <w:t>https://am.lrv.lt/uploads/am/documents/files/EBPO%20rekomendacijos%20ir%20vertinimas_%20AM%20redakcija%2009%2023%20pdf%20(1).pdf</w:t>
        </w:r>
      </w:hyperlink>
      <w:r w:rsidR="007F2D39">
        <w:rPr>
          <w:rStyle w:val="Hipersaitas"/>
          <w:sz w:val="16"/>
          <w:szCs w:val="16"/>
        </w:rPr>
        <w:t>.</w:t>
      </w:r>
      <w:r w:rsidRPr="00652B7A">
        <w:rPr>
          <w:sz w:val="16"/>
          <w:szCs w:val="16"/>
        </w:rPr>
        <w:t xml:space="preserve"> </w:t>
      </w:r>
    </w:p>
  </w:footnote>
  <w:footnote w:id="8">
    <w:p w14:paraId="40397227" w14:textId="15B13E16" w:rsidR="00EE70A6" w:rsidRPr="001B1032" w:rsidRDefault="00EE70A6" w:rsidP="00EE70A6">
      <w:pPr>
        <w:pStyle w:val="Puslapioinaostekstas"/>
        <w:rPr>
          <w:lang w:val="lt-LT"/>
        </w:rPr>
      </w:pPr>
      <w:r>
        <w:rPr>
          <w:rStyle w:val="Puslapioinaosnuoroda"/>
        </w:rPr>
        <w:footnoteRef/>
      </w:r>
      <w:r>
        <w:t xml:space="preserve"> </w:t>
      </w:r>
      <w:hyperlink r:id="rId7" w:history="1">
        <w:r w:rsidRPr="001B1032">
          <w:rPr>
            <w:rStyle w:val="Hipersaitas"/>
            <w:sz w:val="16"/>
            <w:szCs w:val="16"/>
          </w:rPr>
          <w:t>https://www.imf.org/en/Publications/FM/Issues/2019/09/12/fiscal-monitor-october-2019</w:t>
        </w:r>
      </w:hyperlink>
      <w:r w:rsidR="007F2D39">
        <w:rPr>
          <w:rStyle w:val="Hipersaitas"/>
          <w:sz w:val="16"/>
          <w:szCs w:val="16"/>
        </w:rPr>
        <w:t>.</w:t>
      </w:r>
      <w:r>
        <w:t xml:space="preserve"> </w:t>
      </w:r>
    </w:p>
  </w:footnote>
  <w:footnote w:id="9">
    <w:p w14:paraId="76DD0766" w14:textId="4BA79F8B" w:rsidR="00EE70A6" w:rsidRDefault="00EE70A6" w:rsidP="00EE70A6">
      <w:pPr>
        <w:pStyle w:val="Puslapioinaostekstas"/>
      </w:pPr>
      <w:r>
        <w:rPr>
          <w:rStyle w:val="Puslapioinaosnuoroda"/>
        </w:rPr>
        <w:footnoteRef/>
      </w:r>
      <w:r>
        <w:t xml:space="preserve"> </w:t>
      </w:r>
      <w:hyperlink r:id="rId8" w:history="1">
        <w:r w:rsidRPr="003F432F">
          <w:rPr>
            <w:rStyle w:val="Hipersaitas"/>
            <w:sz w:val="16"/>
            <w:szCs w:val="16"/>
          </w:rPr>
          <w:t>https://am.lrv.lt/uploads/am/documents/files/EBPO%20rekomendacijos%20ir%20vertinimas_%20AM%20redakcija%2009%2023%20pdf%20(1).pdf</w:t>
        </w:r>
      </w:hyperlink>
      <w:r w:rsidR="007F2D39">
        <w:rPr>
          <w:rStyle w:val="Hipersaitas"/>
          <w:sz w:val="16"/>
          <w:szCs w:val="16"/>
        </w:rPr>
        <w:t>.</w:t>
      </w:r>
      <w:r w:rsidRPr="003F432F">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1363"/>
    <w:multiLevelType w:val="hybridMultilevel"/>
    <w:tmpl w:val="E0F250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1D"/>
    <w:rsid w:val="000028E9"/>
    <w:rsid w:val="00007F4F"/>
    <w:rsid w:val="00022100"/>
    <w:rsid w:val="00026D95"/>
    <w:rsid w:val="00042C0E"/>
    <w:rsid w:val="000632D9"/>
    <w:rsid w:val="00066472"/>
    <w:rsid w:val="000675E6"/>
    <w:rsid w:val="00080BB6"/>
    <w:rsid w:val="00097918"/>
    <w:rsid w:val="000C1FFC"/>
    <w:rsid w:val="000C43CF"/>
    <w:rsid w:val="000C50F6"/>
    <w:rsid w:val="000E2CED"/>
    <w:rsid w:val="000E5B1E"/>
    <w:rsid w:val="000F1749"/>
    <w:rsid w:val="001312F3"/>
    <w:rsid w:val="0013159E"/>
    <w:rsid w:val="00137E25"/>
    <w:rsid w:val="00145707"/>
    <w:rsid w:val="00157274"/>
    <w:rsid w:val="0016135F"/>
    <w:rsid w:val="001652E3"/>
    <w:rsid w:val="0017194B"/>
    <w:rsid w:val="00186658"/>
    <w:rsid w:val="001923E2"/>
    <w:rsid w:val="001A56C9"/>
    <w:rsid w:val="001B1032"/>
    <w:rsid w:val="001B48B8"/>
    <w:rsid w:val="001D0B33"/>
    <w:rsid w:val="001D67A4"/>
    <w:rsid w:val="001E55A8"/>
    <w:rsid w:val="00204E43"/>
    <w:rsid w:val="002116DD"/>
    <w:rsid w:val="00227182"/>
    <w:rsid w:val="00236274"/>
    <w:rsid w:val="002534C8"/>
    <w:rsid w:val="0025532F"/>
    <w:rsid w:val="0026219E"/>
    <w:rsid w:val="00274817"/>
    <w:rsid w:val="00291361"/>
    <w:rsid w:val="002B313C"/>
    <w:rsid w:val="002C29AB"/>
    <w:rsid w:val="002C564A"/>
    <w:rsid w:val="002D2D36"/>
    <w:rsid w:val="002E109E"/>
    <w:rsid w:val="002E36EB"/>
    <w:rsid w:val="002F497F"/>
    <w:rsid w:val="002F4CAF"/>
    <w:rsid w:val="002F54BA"/>
    <w:rsid w:val="0035109A"/>
    <w:rsid w:val="00354B78"/>
    <w:rsid w:val="00380871"/>
    <w:rsid w:val="00381950"/>
    <w:rsid w:val="003826CB"/>
    <w:rsid w:val="00391BB2"/>
    <w:rsid w:val="00397AD4"/>
    <w:rsid w:val="003A1FB6"/>
    <w:rsid w:val="003B2B8A"/>
    <w:rsid w:val="003B30B6"/>
    <w:rsid w:val="003D71AB"/>
    <w:rsid w:val="003E1ECE"/>
    <w:rsid w:val="003F29BC"/>
    <w:rsid w:val="003F432F"/>
    <w:rsid w:val="003F6AAF"/>
    <w:rsid w:val="004041FC"/>
    <w:rsid w:val="004072A9"/>
    <w:rsid w:val="00415206"/>
    <w:rsid w:val="00427547"/>
    <w:rsid w:val="00430870"/>
    <w:rsid w:val="004415B0"/>
    <w:rsid w:val="004562A3"/>
    <w:rsid w:val="00464EF4"/>
    <w:rsid w:val="004A7A0B"/>
    <w:rsid w:val="004D248C"/>
    <w:rsid w:val="004D6CCE"/>
    <w:rsid w:val="004E7A1B"/>
    <w:rsid w:val="004F4995"/>
    <w:rsid w:val="00503E55"/>
    <w:rsid w:val="00514CC7"/>
    <w:rsid w:val="00535D6B"/>
    <w:rsid w:val="00542D83"/>
    <w:rsid w:val="00552F3D"/>
    <w:rsid w:val="00560536"/>
    <w:rsid w:val="00571A8D"/>
    <w:rsid w:val="00576926"/>
    <w:rsid w:val="00584C6B"/>
    <w:rsid w:val="0058620C"/>
    <w:rsid w:val="005942FF"/>
    <w:rsid w:val="005B2C15"/>
    <w:rsid w:val="005C24C2"/>
    <w:rsid w:val="005C424E"/>
    <w:rsid w:val="005C5299"/>
    <w:rsid w:val="005D1609"/>
    <w:rsid w:val="005D5E1A"/>
    <w:rsid w:val="005D7B06"/>
    <w:rsid w:val="006158C8"/>
    <w:rsid w:val="0061682B"/>
    <w:rsid w:val="006171CF"/>
    <w:rsid w:val="00617830"/>
    <w:rsid w:val="00622F7A"/>
    <w:rsid w:val="0062459F"/>
    <w:rsid w:val="00652B7A"/>
    <w:rsid w:val="006557C3"/>
    <w:rsid w:val="00667579"/>
    <w:rsid w:val="00671C80"/>
    <w:rsid w:val="006766A1"/>
    <w:rsid w:val="00685A2C"/>
    <w:rsid w:val="006B41D9"/>
    <w:rsid w:val="006B5563"/>
    <w:rsid w:val="006F7C86"/>
    <w:rsid w:val="007165D0"/>
    <w:rsid w:val="007262CE"/>
    <w:rsid w:val="00732829"/>
    <w:rsid w:val="007410BE"/>
    <w:rsid w:val="00744A2B"/>
    <w:rsid w:val="0074712F"/>
    <w:rsid w:val="0075703F"/>
    <w:rsid w:val="00763205"/>
    <w:rsid w:val="007716FF"/>
    <w:rsid w:val="00785DE0"/>
    <w:rsid w:val="00786724"/>
    <w:rsid w:val="00786DE0"/>
    <w:rsid w:val="00787BFC"/>
    <w:rsid w:val="00791E48"/>
    <w:rsid w:val="007A1201"/>
    <w:rsid w:val="007B3DED"/>
    <w:rsid w:val="007B5F4C"/>
    <w:rsid w:val="007C6D0C"/>
    <w:rsid w:val="007E06D8"/>
    <w:rsid w:val="007E15EE"/>
    <w:rsid w:val="007E4261"/>
    <w:rsid w:val="007F12FB"/>
    <w:rsid w:val="007F2D39"/>
    <w:rsid w:val="007F5310"/>
    <w:rsid w:val="007F63CE"/>
    <w:rsid w:val="007F7B65"/>
    <w:rsid w:val="00803855"/>
    <w:rsid w:val="008269C9"/>
    <w:rsid w:val="00827540"/>
    <w:rsid w:val="00832E7C"/>
    <w:rsid w:val="00843008"/>
    <w:rsid w:val="00857276"/>
    <w:rsid w:val="00857CAB"/>
    <w:rsid w:val="00861507"/>
    <w:rsid w:val="00872B39"/>
    <w:rsid w:val="0087391C"/>
    <w:rsid w:val="00877B3C"/>
    <w:rsid w:val="00887124"/>
    <w:rsid w:val="00893C96"/>
    <w:rsid w:val="008A3A06"/>
    <w:rsid w:val="008A6624"/>
    <w:rsid w:val="008D4E33"/>
    <w:rsid w:val="008D5D88"/>
    <w:rsid w:val="008E757F"/>
    <w:rsid w:val="008F18CC"/>
    <w:rsid w:val="008F74A3"/>
    <w:rsid w:val="0091152C"/>
    <w:rsid w:val="00920BBB"/>
    <w:rsid w:val="009244F6"/>
    <w:rsid w:val="00940594"/>
    <w:rsid w:val="00941C82"/>
    <w:rsid w:val="0094643F"/>
    <w:rsid w:val="0095680C"/>
    <w:rsid w:val="0097635B"/>
    <w:rsid w:val="0099006D"/>
    <w:rsid w:val="0099131F"/>
    <w:rsid w:val="0099718C"/>
    <w:rsid w:val="009A2B35"/>
    <w:rsid w:val="009B47EF"/>
    <w:rsid w:val="009C2608"/>
    <w:rsid w:val="009C485B"/>
    <w:rsid w:val="009C6792"/>
    <w:rsid w:val="009C7DF4"/>
    <w:rsid w:val="009D0775"/>
    <w:rsid w:val="009D7D9C"/>
    <w:rsid w:val="009F0991"/>
    <w:rsid w:val="009F20B2"/>
    <w:rsid w:val="009F6F98"/>
    <w:rsid w:val="00A10152"/>
    <w:rsid w:val="00A257A4"/>
    <w:rsid w:val="00A408AB"/>
    <w:rsid w:val="00A45065"/>
    <w:rsid w:val="00A5629A"/>
    <w:rsid w:val="00A630BE"/>
    <w:rsid w:val="00A667E3"/>
    <w:rsid w:val="00A90B1D"/>
    <w:rsid w:val="00A93031"/>
    <w:rsid w:val="00A93909"/>
    <w:rsid w:val="00AA252D"/>
    <w:rsid w:val="00AB7D68"/>
    <w:rsid w:val="00AC0B19"/>
    <w:rsid w:val="00AC7F76"/>
    <w:rsid w:val="00AD26DD"/>
    <w:rsid w:val="00AE0602"/>
    <w:rsid w:val="00AE5862"/>
    <w:rsid w:val="00B0377C"/>
    <w:rsid w:val="00B07A51"/>
    <w:rsid w:val="00B13726"/>
    <w:rsid w:val="00B3441D"/>
    <w:rsid w:val="00B51AE5"/>
    <w:rsid w:val="00B543A8"/>
    <w:rsid w:val="00B65CB4"/>
    <w:rsid w:val="00B73FB1"/>
    <w:rsid w:val="00BA6B43"/>
    <w:rsid w:val="00BB27EE"/>
    <w:rsid w:val="00BC1A9C"/>
    <w:rsid w:val="00BC247A"/>
    <w:rsid w:val="00BC3DB2"/>
    <w:rsid w:val="00BD7168"/>
    <w:rsid w:val="00BE60EB"/>
    <w:rsid w:val="00BF0C27"/>
    <w:rsid w:val="00C01077"/>
    <w:rsid w:val="00C14880"/>
    <w:rsid w:val="00C27885"/>
    <w:rsid w:val="00C65A5C"/>
    <w:rsid w:val="00C81EAA"/>
    <w:rsid w:val="00C82E77"/>
    <w:rsid w:val="00C85EA8"/>
    <w:rsid w:val="00C978E0"/>
    <w:rsid w:val="00CB2B36"/>
    <w:rsid w:val="00CC115E"/>
    <w:rsid w:val="00CD2852"/>
    <w:rsid w:val="00CD7276"/>
    <w:rsid w:val="00CF6ECF"/>
    <w:rsid w:val="00D054C6"/>
    <w:rsid w:val="00D209AE"/>
    <w:rsid w:val="00D53B96"/>
    <w:rsid w:val="00D70D0E"/>
    <w:rsid w:val="00D81C9E"/>
    <w:rsid w:val="00DA3792"/>
    <w:rsid w:val="00DA59AF"/>
    <w:rsid w:val="00DB4024"/>
    <w:rsid w:val="00DE5361"/>
    <w:rsid w:val="00DF4F5D"/>
    <w:rsid w:val="00E101AC"/>
    <w:rsid w:val="00E16230"/>
    <w:rsid w:val="00E22AC2"/>
    <w:rsid w:val="00E35567"/>
    <w:rsid w:val="00E52B92"/>
    <w:rsid w:val="00E56EB9"/>
    <w:rsid w:val="00E87FA7"/>
    <w:rsid w:val="00E979A2"/>
    <w:rsid w:val="00ED5B38"/>
    <w:rsid w:val="00EE3A2F"/>
    <w:rsid w:val="00EE70A6"/>
    <w:rsid w:val="00EF1A37"/>
    <w:rsid w:val="00F072AA"/>
    <w:rsid w:val="00F10EB0"/>
    <w:rsid w:val="00F20165"/>
    <w:rsid w:val="00F22467"/>
    <w:rsid w:val="00F264DF"/>
    <w:rsid w:val="00F32084"/>
    <w:rsid w:val="00F3276A"/>
    <w:rsid w:val="00F41C92"/>
    <w:rsid w:val="00F47500"/>
    <w:rsid w:val="00F546CB"/>
    <w:rsid w:val="00F54867"/>
    <w:rsid w:val="00F60969"/>
    <w:rsid w:val="00F6131B"/>
    <w:rsid w:val="00F613D2"/>
    <w:rsid w:val="00F74F72"/>
    <w:rsid w:val="00F759D4"/>
    <w:rsid w:val="00F90139"/>
    <w:rsid w:val="00F9518D"/>
    <w:rsid w:val="00FA5A44"/>
    <w:rsid w:val="00FB0063"/>
    <w:rsid w:val="00FB0AD7"/>
    <w:rsid w:val="00FE3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0B2"/>
    <w:pPr>
      <w:widowControl w:val="0"/>
      <w:autoSpaceDE w:val="0"/>
      <w:autoSpaceDN w:val="0"/>
      <w:adjustRightInd w:val="0"/>
      <w:spacing w:after="0" w:line="240" w:lineRule="auto"/>
    </w:pPr>
    <w:rPr>
      <w:rFonts w:ascii="Verdana" w:eastAsia="Times New Roman" w:hAnsi="Verdana" w:cs="Times New Roman"/>
      <w:sz w:val="20"/>
      <w:szCs w:val="20"/>
      <w:lang w:val="en-US"/>
    </w:rPr>
  </w:style>
  <w:style w:type="paragraph" w:styleId="Antrat1">
    <w:name w:val="heading 1"/>
    <w:basedOn w:val="prastasis"/>
    <w:next w:val="prastasis"/>
    <w:link w:val="Antrat1Diagrama"/>
    <w:qFormat/>
    <w:rsid w:val="009F20B2"/>
    <w:pPr>
      <w:keepNext/>
      <w:jc w:val="center"/>
      <w:outlineLvl w:val="0"/>
    </w:pPr>
    <w:rPr>
      <w:b/>
      <w:sz w:val="24"/>
      <w:lang w:val="lt-LT"/>
    </w:rPr>
  </w:style>
  <w:style w:type="paragraph" w:styleId="Antrat2">
    <w:name w:val="heading 2"/>
    <w:basedOn w:val="prastasis"/>
    <w:next w:val="prastasis"/>
    <w:link w:val="Antrat2Diagrama"/>
    <w:qFormat/>
    <w:rsid w:val="009F20B2"/>
    <w:pPr>
      <w:keepNext/>
      <w:jc w:val="right"/>
      <w:outlineLvl w:val="1"/>
    </w:pPr>
    <w:rPr>
      <w:sz w:val="24"/>
      <w:lang w:val="lt-LT"/>
    </w:rPr>
  </w:style>
  <w:style w:type="paragraph" w:styleId="Antrat3">
    <w:name w:val="heading 3"/>
    <w:basedOn w:val="prastasis"/>
    <w:next w:val="prastasis"/>
    <w:link w:val="Antrat3Diagrama"/>
    <w:uiPriority w:val="9"/>
    <w:semiHidden/>
    <w:unhideWhenUsed/>
    <w:qFormat/>
    <w:rsid w:val="00F546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20B2"/>
    <w:rPr>
      <w:rFonts w:ascii="Verdana" w:eastAsia="Times New Roman" w:hAnsi="Verdana" w:cs="Times New Roman"/>
      <w:b/>
      <w:sz w:val="24"/>
      <w:szCs w:val="20"/>
    </w:rPr>
  </w:style>
  <w:style w:type="character" w:customStyle="1" w:styleId="Antrat2Diagrama">
    <w:name w:val="Antraštė 2 Diagrama"/>
    <w:basedOn w:val="Numatytasispastraiposriftas"/>
    <w:link w:val="Antrat2"/>
    <w:rsid w:val="009F20B2"/>
    <w:rPr>
      <w:rFonts w:ascii="Verdana" w:eastAsia="Times New Roman" w:hAnsi="Verdana" w:cs="Times New Roman"/>
      <w:sz w:val="24"/>
      <w:szCs w:val="20"/>
    </w:rPr>
  </w:style>
  <w:style w:type="paragraph" w:styleId="Puslapioinaostekstas">
    <w:name w:val="footnote text"/>
    <w:basedOn w:val="prastasis"/>
    <w:link w:val="PuslapioinaostekstasDiagrama"/>
    <w:uiPriority w:val="99"/>
    <w:semiHidden/>
    <w:unhideWhenUsed/>
    <w:rsid w:val="005D7B06"/>
  </w:style>
  <w:style w:type="character" w:customStyle="1" w:styleId="PuslapioinaostekstasDiagrama">
    <w:name w:val="Puslapio išnašos tekstas Diagrama"/>
    <w:basedOn w:val="Numatytasispastraiposriftas"/>
    <w:link w:val="Puslapioinaostekstas"/>
    <w:uiPriority w:val="99"/>
    <w:semiHidden/>
    <w:rsid w:val="005D7B06"/>
    <w:rPr>
      <w:rFonts w:ascii="Verdana" w:eastAsia="Times New Roman" w:hAnsi="Verdana" w:cs="Times New Roman"/>
      <w:sz w:val="20"/>
      <w:szCs w:val="20"/>
      <w:lang w:val="en-US"/>
    </w:rPr>
  </w:style>
  <w:style w:type="character" w:styleId="Puslapioinaosnuoroda">
    <w:name w:val="footnote reference"/>
    <w:basedOn w:val="Numatytasispastraiposriftas"/>
    <w:uiPriority w:val="99"/>
    <w:semiHidden/>
    <w:unhideWhenUsed/>
    <w:rsid w:val="005D7B06"/>
    <w:rPr>
      <w:vertAlign w:val="superscript"/>
    </w:rPr>
  </w:style>
  <w:style w:type="character" w:styleId="Hipersaitas">
    <w:name w:val="Hyperlink"/>
    <w:basedOn w:val="Numatytasispastraiposriftas"/>
    <w:uiPriority w:val="99"/>
    <w:unhideWhenUsed/>
    <w:rsid w:val="005D7B06"/>
    <w:rPr>
      <w:color w:val="0000FF" w:themeColor="hyperlink"/>
      <w:u w:val="single"/>
    </w:rPr>
  </w:style>
  <w:style w:type="character" w:customStyle="1" w:styleId="UnresolvedMention">
    <w:name w:val="Unresolved Mention"/>
    <w:basedOn w:val="Numatytasispastraiposriftas"/>
    <w:uiPriority w:val="99"/>
    <w:semiHidden/>
    <w:unhideWhenUsed/>
    <w:rsid w:val="005D7B06"/>
    <w:rPr>
      <w:color w:val="605E5C"/>
      <w:shd w:val="clear" w:color="auto" w:fill="E1DFDD"/>
    </w:rPr>
  </w:style>
  <w:style w:type="paragraph" w:styleId="Sraopastraipa">
    <w:name w:val="List Paragraph"/>
    <w:basedOn w:val="prastasis"/>
    <w:uiPriority w:val="34"/>
    <w:qFormat/>
    <w:rsid w:val="0061682B"/>
    <w:pPr>
      <w:ind w:left="720"/>
      <w:contextualSpacing/>
    </w:pPr>
  </w:style>
  <w:style w:type="table" w:styleId="Lentelstinklelis">
    <w:name w:val="Table Grid"/>
    <w:basedOn w:val="prastojilentel"/>
    <w:uiPriority w:val="59"/>
    <w:rsid w:val="000F17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71A8D"/>
    <w:rPr>
      <w:sz w:val="16"/>
      <w:szCs w:val="16"/>
    </w:rPr>
  </w:style>
  <w:style w:type="paragraph" w:styleId="Komentarotekstas">
    <w:name w:val="annotation text"/>
    <w:basedOn w:val="prastasis"/>
    <w:link w:val="KomentarotekstasDiagrama"/>
    <w:uiPriority w:val="99"/>
    <w:semiHidden/>
    <w:unhideWhenUsed/>
    <w:rsid w:val="00571A8D"/>
  </w:style>
  <w:style w:type="character" w:customStyle="1" w:styleId="KomentarotekstasDiagrama">
    <w:name w:val="Komentaro tekstas Diagrama"/>
    <w:basedOn w:val="Numatytasispastraiposriftas"/>
    <w:link w:val="Komentarotekstas"/>
    <w:uiPriority w:val="99"/>
    <w:semiHidden/>
    <w:rsid w:val="00571A8D"/>
    <w:rPr>
      <w:rFonts w:ascii="Verdana" w:eastAsia="Times New Roman" w:hAnsi="Verdan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1A8D"/>
    <w:rPr>
      <w:b/>
      <w:bCs/>
    </w:rPr>
  </w:style>
  <w:style w:type="character" w:customStyle="1" w:styleId="KomentarotemaDiagrama">
    <w:name w:val="Komentaro tema Diagrama"/>
    <w:basedOn w:val="KomentarotekstasDiagrama"/>
    <w:link w:val="Komentarotema"/>
    <w:uiPriority w:val="99"/>
    <w:semiHidden/>
    <w:rsid w:val="00571A8D"/>
    <w:rPr>
      <w:rFonts w:ascii="Verdana" w:eastAsia="Times New Roman" w:hAnsi="Verdana" w:cs="Times New Roman"/>
      <w:b/>
      <w:bCs/>
      <w:sz w:val="20"/>
      <w:szCs w:val="20"/>
      <w:lang w:val="en-US"/>
    </w:rPr>
  </w:style>
  <w:style w:type="character" w:styleId="Perirtashipersaitas">
    <w:name w:val="FollowedHyperlink"/>
    <w:basedOn w:val="Numatytasispastraiposriftas"/>
    <w:uiPriority w:val="99"/>
    <w:semiHidden/>
    <w:unhideWhenUsed/>
    <w:rsid w:val="00861507"/>
    <w:rPr>
      <w:color w:val="800080" w:themeColor="followedHyperlink"/>
      <w:u w:val="single"/>
    </w:rPr>
  </w:style>
  <w:style w:type="paragraph" w:styleId="Antrats">
    <w:name w:val="header"/>
    <w:basedOn w:val="prastasis"/>
    <w:link w:val="AntratsDiagrama"/>
    <w:uiPriority w:val="99"/>
    <w:semiHidden/>
    <w:unhideWhenUsed/>
    <w:rsid w:val="009D0775"/>
    <w:pPr>
      <w:tabs>
        <w:tab w:val="center" w:pos="4819"/>
        <w:tab w:val="right" w:pos="9638"/>
      </w:tabs>
    </w:pPr>
  </w:style>
  <w:style w:type="character" w:customStyle="1" w:styleId="AntratsDiagrama">
    <w:name w:val="Antraštės Diagrama"/>
    <w:basedOn w:val="Numatytasispastraiposriftas"/>
    <w:link w:val="Antrats"/>
    <w:uiPriority w:val="99"/>
    <w:semiHidden/>
    <w:rsid w:val="009D0775"/>
    <w:rPr>
      <w:rFonts w:ascii="Verdana" w:eastAsia="Times New Roman" w:hAnsi="Verdana" w:cs="Times New Roman"/>
      <w:sz w:val="20"/>
      <w:szCs w:val="20"/>
      <w:lang w:val="en-US"/>
    </w:rPr>
  </w:style>
  <w:style w:type="paragraph" w:styleId="Porat">
    <w:name w:val="footer"/>
    <w:basedOn w:val="prastasis"/>
    <w:link w:val="PoratDiagrama"/>
    <w:uiPriority w:val="99"/>
    <w:semiHidden/>
    <w:unhideWhenUsed/>
    <w:rsid w:val="009D0775"/>
    <w:pPr>
      <w:tabs>
        <w:tab w:val="center" w:pos="4819"/>
        <w:tab w:val="right" w:pos="9638"/>
      </w:tabs>
    </w:pPr>
  </w:style>
  <w:style w:type="character" w:customStyle="1" w:styleId="PoratDiagrama">
    <w:name w:val="Poraštė Diagrama"/>
    <w:basedOn w:val="Numatytasispastraiposriftas"/>
    <w:link w:val="Porat"/>
    <w:uiPriority w:val="99"/>
    <w:semiHidden/>
    <w:rsid w:val="009D0775"/>
    <w:rPr>
      <w:rFonts w:ascii="Verdana" w:eastAsia="Times New Roman" w:hAnsi="Verdana" w:cs="Times New Roman"/>
      <w:sz w:val="20"/>
      <w:szCs w:val="20"/>
      <w:lang w:val="en-US"/>
    </w:rPr>
  </w:style>
  <w:style w:type="paragraph" w:styleId="Pataisymai">
    <w:name w:val="Revision"/>
    <w:hidden/>
    <w:uiPriority w:val="99"/>
    <w:semiHidden/>
    <w:rsid w:val="005942FF"/>
    <w:pPr>
      <w:spacing w:after="0" w:line="240" w:lineRule="auto"/>
    </w:pPr>
    <w:rPr>
      <w:rFonts w:ascii="Verdana" w:eastAsia="Times New Roman" w:hAnsi="Verdana" w:cs="Times New Roman"/>
      <w:sz w:val="20"/>
      <w:szCs w:val="20"/>
      <w:lang w:val="en-US"/>
    </w:rPr>
  </w:style>
  <w:style w:type="paragraph" w:styleId="Antrat">
    <w:name w:val="caption"/>
    <w:basedOn w:val="prastasis"/>
    <w:next w:val="prastasis"/>
    <w:uiPriority w:val="35"/>
    <w:unhideWhenUsed/>
    <w:qFormat/>
    <w:rsid w:val="005C24C2"/>
    <w:pPr>
      <w:spacing w:after="200"/>
    </w:pPr>
    <w:rPr>
      <w:i/>
      <w:iCs/>
      <w:color w:val="1F497D" w:themeColor="text2"/>
      <w:sz w:val="18"/>
      <w:szCs w:val="18"/>
    </w:rPr>
  </w:style>
  <w:style w:type="character" w:customStyle="1" w:styleId="Antrat3Diagrama">
    <w:name w:val="Antraštė 3 Diagrama"/>
    <w:basedOn w:val="Numatytasispastraiposriftas"/>
    <w:link w:val="Antrat3"/>
    <w:uiPriority w:val="9"/>
    <w:semiHidden/>
    <w:rsid w:val="00F546CB"/>
    <w:rPr>
      <w:rFonts w:asciiTheme="majorHAnsi" w:eastAsiaTheme="majorEastAsia" w:hAnsiTheme="majorHAnsi" w:cstheme="majorBidi"/>
      <w:color w:val="243F60" w:themeColor="accent1" w:themeShade="7F"/>
      <w:sz w:val="24"/>
      <w:szCs w:val="24"/>
      <w:lang w:val="en-US"/>
    </w:rPr>
  </w:style>
  <w:style w:type="paragraph" w:styleId="Debesliotekstas">
    <w:name w:val="Balloon Text"/>
    <w:basedOn w:val="prastasis"/>
    <w:link w:val="DebesliotekstasDiagrama"/>
    <w:uiPriority w:val="99"/>
    <w:semiHidden/>
    <w:unhideWhenUsed/>
    <w:rsid w:val="00AE586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86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0B2"/>
    <w:pPr>
      <w:widowControl w:val="0"/>
      <w:autoSpaceDE w:val="0"/>
      <w:autoSpaceDN w:val="0"/>
      <w:adjustRightInd w:val="0"/>
      <w:spacing w:after="0" w:line="240" w:lineRule="auto"/>
    </w:pPr>
    <w:rPr>
      <w:rFonts w:ascii="Verdana" w:eastAsia="Times New Roman" w:hAnsi="Verdana" w:cs="Times New Roman"/>
      <w:sz w:val="20"/>
      <w:szCs w:val="20"/>
      <w:lang w:val="en-US"/>
    </w:rPr>
  </w:style>
  <w:style w:type="paragraph" w:styleId="Antrat1">
    <w:name w:val="heading 1"/>
    <w:basedOn w:val="prastasis"/>
    <w:next w:val="prastasis"/>
    <w:link w:val="Antrat1Diagrama"/>
    <w:qFormat/>
    <w:rsid w:val="009F20B2"/>
    <w:pPr>
      <w:keepNext/>
      <w:jc w:val="center"/>
      <w:outlineLvl w:val="0"/>
    </w:pPr>
    <w:rPr>
      <w:b/>
      <w:sz w:val="24"/>
      <w:lang w:val="lt-LT"/>
    </w:rPr>
  </w:style>
  <w:style w:type="paragraph" w:styleId="Antrat2">
    <w:name w:val="heading 2"/>
    <w:basedOn w:val="prastasis"/>
    <w:next w:val="prastasis"/>
    <w:link w:val="Antrat2Diagrama"/>
    <w:qFormat/>
    <w:rsid w:val="009F20B2"/>
    <w:pPr>
      <w:keepNext/>
      <w:jc w:val="right"/>
      <w:outlineLvl w:val="1"/>
    </w:pPr>
    <w:rPr>
      <w:sz w:val="24"/>
      <w:lang w:val="lt-LT"/>
    </w:rPr>
  </w:style>
  <w:style w:type="paragraph" w:styleId="Antrat3">
    <w:name w:val="heading 3"/>
    <w:basedOn w:val="prastasis"/>
    <w:next w:val="prastasis"/>
    <w:link w:val="Antrat3Diagrama"/>
    <w:uiPriority w:val="9"/>
    <w:semiHidden/>
    <w:unhideWhenUsed/>
    <w:qFormat/>
    <w:rsid w:val="00F546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20B2"/>
    <w:rPr>
      <w:rFonts w:ascii="Verdana" w:eastAsia="Times New Roman" w:hAnsi="Verdana" w:cs="Times New Roman"/>
      <w:b/>
      <w:sz w:val="24"/>
      <w:szCs w:val="20"/>
    </w:rPr>
  </w:style>
  <w:style w:type="character" w:customStyle="1" w:styleId="Antrat2Diagrama">
    <w:name w:val="Antraštė 2 Diagrama"/>
    <w:basedOn w:val="Numatytasispastraiposriftas"/>
    <w:link w:val="Antrat2"/>
    <w:rsid w:val="009F20B2"/>
    <w:rPr>
      <w:rFonts w:ascii="Verdana" w:eastAsia="Times New Roman" w:hAnsi="Verdana" w:cs="Times New Roman"/>
      <w:sz w:val="24"/>
      <w:szCs w:val="20"/>
    </w:rPr>
  </w:style>
  <w:style w:type="paragraph" w:styleId="Puslapioinaostekstas">
    <w:name w:val="footnote text"/>
    <w:basedOn w:val="prastasis"/>
    <w:link w:val="PuslapioinaostekstasDiagrama"/>
    <w:uiPriority w:val="99"/>
    <w:semiHidden/>
    <w:unhideWhenUsed/>
    <w:rsid w:val="005D7B06"/>
  </w:style>
  <w:style w:type="character" w:customStyle="1" w:styleId="PuslapioinaostekstasDiagrama">
    <w:name w:val="Puslapio išnašos tekstas Diagrama"/>
    <w:basedOn w:val="Numatytasispastraiposriftas"/>
    <w:link w:val="Puslapioinaostekstas"/>
    <w:uiPriority w:val="99"/>
    <w:semiHidden/>
    <w:rsid w:val="005D7B06"/>
    <w:rPr>
      <w:rFonts w:ascii="Verdana" w:eastAsia="Times New Roman" w:hAnsi="Verdana" w:cs="Times New Roman"/>
      <w:sz w:val="20"/>
      <w:szCs w:val="20"/>
      <w:lang w:val="en-US"/>
    </w:rPr>
  </w:style>
  <w:style w:type="character" w:styleId="Puslapioinaosnuoroda">
    <w:name w:val="footnote reference"/>
    <w:basedOn w:val="Numatytasispastraiposriftas"/>
    <w:uiPriority w:val="99"/>
    <w:semiHidden/>
    <w:unhideWhenUsed/>
    <w:rsid w:val="005D7B06"/>
    <w:rPr>
      <w:vertAlign w:val="superscript"/>
    </w:rPr>
  </w:style>
  <w:style w:type="character" w:styleId="Hipersaitas">
    <w:name w:val="Hyperlink"/>
    <w:basedOn w:val="Numatytasispastraiposriftas"/>
    <w:uiPriority w:val="99"/>
    <w:unhideWhenUsed/>
    <w:rsid w:val="005D7B06"/>
    <w:rPr>
      <w:color w:val="0000FF" w:themeColor="hyperlink"/>
      <w:u w:val="single"/>
    </w:rPr>
  </w:style>
  <w:style w:type="character" w:customStyle="1" w:styleId="UnresolvedMention">
    <w:name w:val="Unresolved Mention"/>
    <w:basedOn w:val="Numatytasispastraiposriftas"/>
    <w:uiPriority w:val="99"/>
    <w:semiHidden/>
    <w:unhideWhenUsed/>
    <w:rsid w:val="005D7B06"/>
    <w:rPr>
      <w:color w:val="605E5C"/>
      <w:shd w:val="clear" w:color="auto" w:fill="E1DFDD"/>
    </w:rPr>
  </w:style>
  <w:style w:type="paragraph" w:styleId="Sraopastraipa">
    <w:name w:val="List Paragraph"/>
    <w:basedOn w:val="prastasis"/>
    <w:uiPriority w:val="34"/>
    <w:qFormat/>
    <w:rsid w:val="0061682B"/>
    <w:pPr>
      <w:ind w:left="720"/>
      <w:contextualSpacing/>
    </w:pPr>
  </w:style>
  <w:style w:type="table" w:styleId="Lentelstinklelis">
    <w:name w:val="Table Grid"/>
    <w:basedOn w:val="prastojilentel"/>
    <w:uiPriority w:val="59"/>
    <w:rsid w:val="000F17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71A8D"/>
    <w:rPr>
      <w:sz w:val="16"/>
      <w:szCs w:val="16"/>
    </w:rPr>
  </w:style>
  <w:style w:type="paragraph" w:styleId="Komentarotekstas">
    <w:name w:val="annotation text"/>
    <w:basedOn w:val="prastasis"/>
    <w:link w:val="KomentarotekstasDiagrama"/>
    <w:uiPriority w:val="99"/>
    <w:semiHidden/>
    <w:unhideWhenUsed/>
    <w:rsid w:val="00571A8D"/>
  </w:style>
  <w:style w:type="character" w:customStyle="1" w:styleId="KomentarotekstasDiagrama">
    <w:name w:val="Komentaro tekstas Diagrama"/>
    <w:basedOn w:val="Numatytasispastraiposriftas"/>
    <w:link w:val="Komentarotekstas"/>
    <w:uiPriority w:val="99"/>
    <w:semiHidden/>
    <w:rsid w:val="00571A8D"/>
    <w:rPr>
      <w:rFonts w:ascii="Verdana" w:eastAsia="Times New Roman" w:hAnsi="Verdan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1A8D"/>
    <w:rPr>
      <w:b/>
      <w:bCs/>
    </w:rPr>
  </w:style>
  <w:style w:type="character" w:customStyle="1" w:styleId="KomentarotemaDiagrama">
    <w:name w:val="Komentaro tema Diagrama"/>
    <w:basedOn w:val="KomentarotekstasDiagrama"/>
    <w:link w:val="Komentarotema"/>
    <w:uiPriority w:val="99"/>
    <w:semiHidden/>
    <w:rsid w:val="00571A8D"/>
    <w:rPr>
      <w:rFonts w:ascii="Verdana" w:eastAsia="Times New Roman" w:hAnsi="Verdana" w:cs="Times New Roman"/>
      <w:b/>
      <w:bCs/>
      <w:sz w:val="20"/>
      <w:szCs w:val="20"/>
      <w:lang w:val="en-US"/>
    </w:rPr>
  </w:style>
  <w:style w:type="character" w:styleId="Perirtashipersaitas">
    <w:name w:val="FollowedHyperlink"/>
    <w:basedOn w:val="Numatytasispastraiposriftas"/>
    <w:uiPriority w:val="99"/>
    <w:semiHidden/>
    <w:unhideWhenUsed/>
    <w:rsid w:val="00861507"/>
    <w:rPr>
      <w:color w:val="800080" w:themeColor="followedHyperlink"/>
      <w:u w:val="single"/>
    </w:rPr>
  </w:style>
  <w:style w:type="paragraph" w:styleId="Antrats">
    <w:name w:val="header"/>
    <w:basedOn w:val="prastasis"/>
    <w:link w:val="AntratsDiagrama"/>
    <w:uiPriority w:val="99"/>
    <w:semiHidden/>
    <w:unhideWhenUsed/>
    <w:rsid w:val="009D0775"/>
    <w:pPr>
      <w:tabs>
        <w:tab w:val="center" w:pos="4819"/>
        <w:tab w:val="right" w:pos="9638"/>
      </w:tabs>
    </w:pPr>
  </w:style>
  <w:style w:type="character" w:customStyle="1" w:styleId="AntratsDiagrama">
    <w:name w:val="Antraštės Diagrama"/>
    <w:basedOn w:val="Numatytasispastraiposriftas"/>
    <w:link w:val="Antrats"/>
    <w:uiPriority w:val="99"/>
    <w:semiHidden/>
    <w:rsid w:val="009D0775"/>
    <w:rPr>
      <w:rFonts w:ascii="Verdana" w:eastAsia="Times New Roman" w:hAnsi="Verdana" w:cs="Times New Roman"/>
      <w:sz w:val="20"/>
      <w:szCs w:val="20"/>
      <w:lang w:val="en-US"/>
    </w:rPr>
  </w:style>
  <w:style w:type="paragraph" w:styleId="Porat">
    <w:name w:val="footer"/>
    <w:basedOn w:val="prastasis"/>
    <w:link w:val="PoratDiagrama"/>
    <w:uiPriority w:val="99"/>
    <w:semiHidden/>
    <w:unhideWhenUsed/>
    <w:rsid w:val="009D0775"/>
    <w:pPr>
      <w:tabs>
        <w:tab w:val="center" w:pos="4819"/>
        <w:tab w:val="right" w:pos="9638"/>
      </w:tabs>
    </w:pPr>
  </w:style>
  <w:style w:type="character" w:customStyle="1" w:styleId="PoratDiagrama">
    <w:name w:val="Poraštė Diagrama"/>
    <w:basedOn w:val="Numatytasispastraiposriftas"/>
    <w:link w:val="Porat"/>
    <w:uiPriority w:val="99"/>
    <w:semiHidden/>
    <w:rsid w:val="009D0775"/>
    <w:rPr>
      <w:rFonts w:ascii="Verdana" w:eastAsia="Times New Roman" w:hAnsi="Verdana" w:cs="Times New Roman"/>
      <w:sz w:val="20"/>
      <w:szCs w:val="20"/>
      <w:lang w:val="en-US"/>
    </w:rPr>
  </w:style>
  <w:style w:type="paragraph" w:styleId="Pataisymai">
    <w:name w:val="Revision"/>
    <w:hidden/>
    <w:uiPriority w:val="99"/>
    <w:semiHidden/>
    <w:rsid w:val="005942FF"/>
    <w:pPr>
      <w:spacing w:after="0" w:line="240" w:lineRule="auto"/>
    </w:pPr>
    <w:rPr>
      <w:rFonts w:ascii="Verdana" w:eastAsia="Times New Roman" w:hAnsi="Verdana" w:cs="Times New Roman"/>
      <w:sz w:val="20"/>
      <w:szCs w:val="20"/>
      <w:lang w:val="en-US"/>
    </w:rPr>
  </w:style>
  <w:style w:type="paragraph" w:styleId="Antrat">
    <w:name w:val="caption"/>
    <w:basedOn w:val="prastasis"/>
    <w:next w:val="prastasis"/>
    <w:uiPriority w:val="35"/>
    <w:unhideWhenUsed/>
    <w:qFormat/>
    <w:rsid w:val="005C24C2"/>
    <w:pPr>
      <w:spacing w:after="200"/>
    </w:pPr>
    <w:rPr>
      <w:i/>
      <w:iCs/>
      <w:color w:val="1F497D" w:themeColor="text2"/>
      <w:sz w:val="18"/>
      <w:szCs w:val="18"/>
    </w:rPr>
  </w:style>
  <w:style w:type="character" w:customStyle="1" w:styleId="Antrat3Diagrama">
    <w:name w:val="Antraštė 3 Diagrama"/>
    <w:basedOn w:val="Numatytasispastraiposriftas"/>
    <w:link w:val="Antrat3"/>
    <w:uiPriority w:val="9"/>
    <w:semiHidden/>
    <w:rsid w:val="00F546CB"/>
    <w:rPr>
      <w:rFonts w:asciiTheme="majorHAnsi" w:eastAsiaTheme="majorEastAsia" w:hAnsiTheme="majorHAnsi" w:cstheme="majorBidi"/>
      <w:color w:val="243F60" w:themeColor="accent1" w:themeShade="7F"/>
      <w:sz w:val="24"/>
      <w:szCs w:val="24"/>
      <w:lang w:val="en-US"/>
    </w:rPr>
  </w:style>
  <w:style w:type="paragraph" w:styleId="Debesliotekstas">
    <w:name w:val="Balloon Text"/>
    <w:basedOn w:val="prastasis"/>
    <w:link w:val="DebesliotekstasDiagrama"/>
    <w:uiPriority w:val="99"/>
    <w:semiHidden/>
    <w:unhideWhenUsed/>
    <w:rsid w:val="00AE586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86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9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yperlink" Target="mailto:mstukas@lb.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dimbrasas@lb.lt" TargetMode="External"/><Relationship Id="rId2" Type="http://schemas.openxmlformats.org/officeDocument/2006/relationships/customXml" Target="../customXml/item2.xml"/><Relationship Id="rId16" Type="http://schemas.openxmlformats.org/officeDocument/2006/relationships/hyperlink" Target="mailto:lmociunaite@lb.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am.lrv.lt/uploads/am/documents/files/EBPO%20rekomendacijos%20ir%20vertinimas_%20AM%20redakcija%2009%2023%20pdf%20(1).pdf" TargetMode="External"/><Relationship Id="rId3" Type="http://schemas.openxmlformats.org/officeDocument/2006/relationships/hyperlink" Target="https://www.oecd-ilibrary.org/environment/exploring-the-relationship-between-environmentally-related-taxes-and-inequality-in-income-sources_5jm3mbfzkrzp-en;jsessionid=jkC1F51ujb0riqhGH_TXws7n.ip-10-240-5-76" TargetMode="External"/><Relationship Id="rId7" Type="http://schemas.openxmlformats.org/officeDocument/2006/relationships/hyperlink" Target="https://www.imf.org/en/Publications/FM/Issues/2019/09/12/fiscal-monitor-october-2019" TargetMode="External"/><Relationship Id="rId2" Type="http://schemas.openxmlformats.org/officeDocument/2006/relationships/hyperlink" Target="https://www.oecd-ilibrary.org/environment/exploring-the-relationship-between-environmentally-related-taxes-and-inequality-in-income-sources_5jm3mbfzkrzp-en;jsessionid=jkC1F51ujb0riqhGH_TXws7n.ip-10-240-5-76" TargetMode="External"/><Relationship Id="rId1" Type="http://schemas.openxmlformats.org/officeDocument/2006/relationships/hyperlink" Target="https://www.imf.org/en/Publications/FM/Issues/2019/09/12/fiscal-monitor-october-2019" TargetMode="External"/><Relationship Id="rId6" Type="http://schemas.openxmlformats.org/officeDocument/2006/relationships/hyperlink" Target="https://am.lrv.lt/uploads/am/documents/files/EBPO%20rekomendacijos%20ir%20vertinimas_%20AM%20redakcija%2009%2023%20pdf%20(1).pdf" TargetMode="External"/><Relationship Id="rId5" Type="http://schemas.openxmlformats.org/officeDocument/2006/relationships/hyperlink" Target="https://www.oecd-ilibrary.org/sites/058ca239-en/index.html?itemId=/content/publication/058ca239-en" TargetMode="External"/><Relationship Id="rId4" Type="http://schemas.openxmlformats.org/officeDocument/2006/relationships/hyperlink" Target="https://ec.europa.eu/info/sites/default/files/file_import/2019-european-semester-country-report-lithuania_lt.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ln-lb-file\Library\EFST.ED.MPS\Duomenys_grafikai_skai&#269;iavimai\Klimato%20kaita\Tar&#353;os%20mokes&#269;iai%20ES_2019_Atnaujinta_2021-10-07.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2.xml"/><Relationship Id="rId1" Type="http://schemas.openxmlformats.org/officeDocument/2006/relationships/package" Target="../embeddings/Microsoft_Excel_Worksheet1.xlsx"/><Relationship Id="rId4"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chartUserShapes" Target="../drawings/drawing3.xml"/><Relationship Id="rId1" Type="http://schemas.openxmlformats.org/officeDocument/2006/relationships/oleObject" Target="file:///C:\Users\dimbrasas\Desktop\Kita\Kiti%20darbai\2021\2021-10-25%20efektyvusis%20CO2%20mokestis.xlsx" TargetMode="Externa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772563724474041E-2"/>
          <c:y val="7.9742307075092875E-2"/>
          <c:w val="0.88942513052167738"/>
          <c:h val="0.58256409845866763"/>
        </c:manualLayout>
      </c:layout>
      <c:barChart>
        <c:barDir val="col"/>
        <c:grouping val="stacked"/>
        <c:varyColors val="0"/>
        <c:ser>
          <c:idx val="1"/>
          <c:order val="0"/>
          <c:tx>
            <c:strRef>
              <c:f>'PAV (2)'!$D$10</c:f>
              <c:strCache>
                <c:ptCount val="1"/>
                <c:pt idx="0">
                  <c:v>Energijos mokesčiai</c:v>
                </c:pt>
              </c:strCache>
            </c:strRef>
          </c:tx>
          <c:spPr>
            <a:solidFill>
              <a:srgbClr val="00B07D"/>
            </a:solidFill>
            <a:ln w="25400">
              <a:noFill/>
            </a:ln>
          </c:spPr>
          <c:invertIfNegative val="0"/>
          <c:cat>
            <c:strRef>
              <c:f>'PAV (2)'!$B$11:$B$38</c:f>
              <c:strCache>
                <c:ptCount val="28"/>
                <c:pt idx="0">
                  <c:v>Graikija</c:v>
                </c:pt>
                <c:pt idx="1">
                  <c:v>Kroatija</c:v>
                </c:pt>
                <c:pt idx="2">
                  <c:v>Nyderlandai</c:v>
                </c:pt>
                <c:pt idx="3">
                  <c:v>Slovėnija</c:v>
                </c:pt>
                <c:pt idx="4">
                  <c:v>Italija</c:v>
                </c:pt>
                <c:pt idx="5">
                  <c:v>Danija</c:v>
                </c:pt>
                <c:pt idx="6">
                  <c:v>Estija</c:v>
                </c:pt>
                <c:pt idx="7">
                  <c:v>Bulgarija</c:v>
                </c:pt>
                <c:pt idx="8">
                  <c:v>Latvija</c:v>
                </c:pt>
                <c:pt idx="9">
                  <c:v>Suomija</c:v>
                </c:pt>
                <c:pt idx="10">
                  <c:v>Belgija</c:v>
                </c:pt>
                <c:pt idx="11">
                  <c:v>Lenkija</c:v>
                </c:pt>
                <c:pt idx="12">
                  <c:v>Kipras</c:v>
                </c:pt>
                <c:pt idx="13">
                  <c:v>Malta</c:v>
                </c:pt>
                <c:pt idx="14">
                  <c:v>Portugalija</c:v>
                </c:pt>
                <c:pt idx="15">
                  <c:v>Slovakija</c:v>
                </c:pt>
                <c:pt idx="16">
                  <c:v>ES 27</c:v>
                </c:pt>
                <c:pt idx="17">
                  <c:v>Prancūzija</c:v>
                </c:pt>
                <c:pt idx="18">
                  <c:v>Austrija</c:v>
                </c:pt>
                <c:pt idx="19">
                  <c:v>Vengrija</c:v>
                </c:pt>
                <c:pt idx="20">
                  <c:v>Rumunija</c:v>
                </c:pt>
                <c:pt idx="21">
                  <c:v>Švedija</c:v>
                </c:pt>
                <c:pt idx="22">
                  <c:v>Čekija</c:v>
                </c:pt>
                <c:pt idx="23">
                  <c:v>Lietuva</c:v>
                </c:pt>
                <c:pt idx="24">
                  <c:v>Vokietija</c:v>
                </c:pt>
                <c:pt idx="25">
                  <c:v>Ispanija</c:v>
                </c:pt>
                <c:pt idx="26">
                  <c:v>Liuksemburgas</c:v>
                </c:pt>
                <c:pt idx="27">
                  <c:v>Airija</c:v>
                </c:pt>
              </c:strCache>
            </c:strRef>
          </c:cat>
          <c:val>
            <c:numRef>
              <c:f>'PAV (2)'!$D$11:$D$38</c:f>
              <c:numCache>
                <c:formatCode>#,##0.00</c:formatCode>
                <c:ptCount val="28"/>
                <c:pt idx="0">
                  <c:v>3.04</c:v>
                </c:pt>
                <c:pt idx="1">
                  <c:v>2.72</c:v>
                </c:pt>
                <c:pt idx="2">
                  <c:v>1.95</c:v>
                </c:pt>
                <c:pt idx="3">
                  <c:v>2.78</c:v>
                </c:pt>
                <c:pt idx="4">
                  <c:v>2.65</c:v>
                </c:pt>
                <c:pt idx="5">
                  <c:v>1.69</c:v>
                </c:pt>
                <c:pt idx="6">
                  <c:v>2.91</c:v>
                </c:pt>
                <c:pt idx="7">
                  <c:v>2.76</c:v>
                </c:pt>
                <c:pt idx="8">
                  <c:v>2.4700000000000002</c:v>
                </c:pt>
                <c:pt idx="9">
                  <c:v>1.92</c:v>
                </c:pt>
                <c:pt idx="10">
                  <c:v>1.88</c:v>
                </c:pt>
                <c:pt idx="11">
                  <c:v>2.31</c:v>
                </c:pt>
                <c:pt idx="12">
                  <c:v>2.0699999999999998</c:v>
                </c:pt>
                <c:pt idx="13">
                  <c:v>1.31</c:v>
                </c:pt>
                <c:pt idx="14">
                  <c:v>1.84</c:v>
                </c:pt>
                <c:pt idx="15">
                  <c:v>2.11</c:v>
                </c:pt>
                <c:pt idx="16">
                  <c:v>1.84</c:v>
                </c:pt>
                <c:pt idx="17">
                  <c:v>1.94</c:v>
                </c:pt>
                <c:pt idx="18">
                  <c:v>1.42</c:v>
                </c:pt>
                <c:pt idx="19">
                  <c:v>1.72</c:v>
                </c:pt>
                <c:pt idx="20">
                  <c:v>1.98</c:v>
                </c:pt>
                <c:pt idx="21">
                  <c:v>1.56</c:v>
                </c:pt>
                <c:pt idx="22">
                  <c:v>1.92</c:v>
                </c:pt>
                <c:pt idx="23">
                  <c:v>1.71</c:v>
                </c:pt>
                <c:pt idx="24">
                  <c:v>1.47</c:v>
                </c:pt>
                <c:pt idx="25">
                  <c:v>1.46</c:v>
                </c:pt>
                <c:pt idx="26" formatCode="#\ ##0.0">
                  <c:v>1.6</c:v>
                </c:pt>
                <c:pt idx="27">
                  <c:v>0.85</c:v>
                </c:pt>
              </c:numCache>
            </c:numRef>
          </c:val>
          <c:extLst xmlns:c16r2="http://schemas.microsoft.com/office/drawing/2015/06/chart">
            <c:ext xmlns:c16="http://schemas.microsoft.com/office/drawing/2014/chart" uri="{C3380CC4-5D6E-409C-BE32-E72D297353CC}">
              <c16:uniqueId val="{00000000-7203-4C54-BD9F-642C27D1C42A}"/>
            </c:ext>
          </c:extLst>
        </c:ser>
        <c:ser>
          <c:idx val="2"/>
          <c:order val="1"/>
          <c:tx>
            <c:strRef>
              <c:f>'PAV (2)'!$E$10</c:f>
              <c:strCache>
                <c:ptCount val="1"/>
                <c:pt idx="0">
                  <c:v>Transporto mokesčiai</c:v>
                </c:pt>
              </c:strCache>
            </c:strRef>
          </c:tx>
          <c:spPr>
            <a:solidFill>
              <a:srgbClr val="E31C48"/>
            </a:solidFill>
            <a:ln w="25400">
              <a:noFill/>
            </a:ln>
          </c:spPr>
          <c:invertIfNegative val="0"/>
          <c:cat>
            <c:strRef>
              <c:f>'PAV (2)'!$B$11:$B$38</c:f>
              <c:strCache>
                <c:ptCount val="28"/>
                <c:pt idx="0">
                  <c:v>Graikija</c:v>
                </c:pt>
                <c:pt idx="1">
                  <c:v>Kroatija</c:v>
                </c:pt>
                <c:pt idx="2">
                  <c:v>Nyderlandai</c:v>
                </c:pt>
                <c:pt idx="3">
                  <c:v>Slovėnija</c:v>
                </c:pt>
                <c:pt idx="4">
                  <c:v>Italija</c:v>
                </c:pt>
                <c:pt idx="5">
                  <c:v>Danija</c:v>
                </c:pt>
                <c:pt idx="6">
                  <c:v>Estija</c:v>
                </c:pt>
                <c:pt idx="7">
                  <c:v>Bulgarija</c:v>
                </c:pt>
                <c:pt idx="8">
                  <c:v>Latvija</c:v>
                </c:pt>
                <c:pt idx="9">
                  <c:v>Suomija</c:v>
                </c:pt>
                <c:pt idx="10">
                  <c:v>Belgija</c:v>
                </c:pt>
                <c:pt idx="11">
                  <c:v>Lenkija</c:v>
                </c:pt>
                <c:pt idx="12">
                  <c:v>Kipras</c:v>
                </c:pt>
                <c:pt idx="13">
                  <c:v>Malta</c:v>
                </c:pt>
                <c:pt idx="14">
                  <c:v>Portugalija</c:v>
                </c:pt>
                <c:pt idx="15">
                  <c:v>Slovakija</c:v>
                </c:pt>
                <c:pt idx="16">
                  <c:v>ES 27</c:v>
                </c:pt>
                <c:pt idx="17">
                  <c:v>Prancūzija</c:v>
                </c:pt>
                <c:pt idx="18">
                  <c:v>Austrija</c:v>
                </c:pt>
                <c:pt idx="19">
                  <c:v>Vengrija</c:v>
                </c:pt>
                <c:pt idx="20">
                  <c:v>Rumunija</c:v>
                </c:pt>
                <c:pt idx="21">
                  <c:v>Švedija</c:v>
                </c:pt>
                <c:pt idx="22">
                  <c:v>Čekija</c:v>
                </c:pt>
                <c:pt idx="23">
                  <c:v>Lietuva</c:v>
                </c:pt>
                <c:pt idx="24">
                  <c:v>Vokietija</c:v>
                </c:pt>
                <c:pt idx="25">
                  <c:v>Ispanija</c:v>
                </c:pt>
                <c:pt idx="26">
                  <c:v>Liuksemburgas</c:v>
                </c:pt>
                <c:pt idx="27">
                  <c:v>Airija</c:v>
                </c:pt>
              </c:strCache>
            </c:strRef>
          </c:cat>
          <c:val>
            <c:numRef>
              <c:f>'PAV (2)'!$E$11:$E$38</c:f>
              <c:numCache>
                <c:formatCode>#,##0.00</c:formatCode>
                <c:ptCount val="28"/>
                <c:pt idx="0">
                  <c:v>0.82</c:v>
                </c:pt>
                <c:pt idx="1">
                  <c:v>0.79</c:v>
                </c:pt>
                <c:pt idx="2">
                  <c:v>1.01</c:v>
                </c:pt>
                <c:pt idx="3">
                  <c:v>0.42</c:v>
                </c:pt>
                <c:pt idx="4" formatCode="#\ ##0.0">
                  <c:v>0.6</c:v>
                </c:pt>
                <c:pt idx="5">
                  <c:v>1.42</c:v>
                </c:pt>
                <c:pt idx="6">
                  <c:v>0.05</c:v>
                </c:pt>
                <c:pt idx="7">
                  <c:v>0.28999999999999998</c:v>
                </c:pt>
                <c:pt idx="8">
                  <c:v>0.38</c:v>
                </c:pt>
                <c:pt idx="9">
                  <c:v>0.86</c:v>
                </c:pt>
                <c:pt idx="10">
                  <c:v>0.64</c:v>
                </c:pt>
                <c:pt idx="11">
                  <c:v>0.22</c:v>
                </c:pt>
                <c:pt idx="12">
                  <c:v>0.52</c:v>
                </c:pt>
                <c:pt idx="13">
                  <c:v>1.01</c:v>
                </c:pt>
                <c:pt idx="14">
                  <c:v>0.67</c:v>
                </c:pt>
                <c:pt idx="15">
                  <c:v>0.25</c:v>
                </c:pt>
                <c:pt idx="16">
                  <c:v>0.45</c:v>
                </c:pt>
                <c:pt idx="17">
                  <c:v>0.26</c:v>
                </c:pt>
                <c:pt idx="18">
                  <c:v>0.86</c:v>
                </c:pt>
                <c:pt idx="19">
                  <c:v>0.31</c:v>
                </c:pt>
                <c:pt idx="20">
                  <c:v>0.14000000000000001</c:v>
                </c:pt>
                <c:pt idx="21">
                  <c:v>0.45</c:v>
                </c:pt>
                <c:pt idx="22">
                  <c:v>0.12</c:v>
                </c:pt>
                <c:pt idx="23">
                  <c:v>0.08</c:v>
                </c:pt>
                <c:pt idx="24">
                  <c:v>0.31</c:v>
                </c:pt>
                <c:pt idx="25">
                  <c:v>0.24</c:v>
                </c:pt>
                <c:pt idx="26">
                  <c:v>0.11</c:v>
                </c:pt>
                <c:pt idx="27">
                  <c:v>0.56000000000000005</c:v>
                </c:pt>
              </c:numCache>
            </c:numRef>
          </c:val>
          <c:extLst xmlns:c16r2="http://schemas.microsoft.com/office/drawing/2015/06/chart">
            <c:ext xmlns:c16="http://schemas.microsoft.com/office/drawing/2014/chart" uri="{C3380CC4-5D6E-409C-BE32-E72D297353CC}">
              <c16:uniqueId val="{00000001-7203-4C54-BD9F-642C27D1C42A}"/>
            </c:ext>
          </c:extLst>
        </c:ser>
        <c:ser>
          <c:idx val="3"/>
          <c:order val="2"/>
          <c:tx>
            <c:strRef>
              <c:f>'PAV (2)'!$F$10</c:f>
              <c:strCache>
                <c:ptCount val="1"/>
                <c:pt idx="0">
                  <c:v>Taršos/išteklių mokesčiai</c:v>
                </c:pt>
              </c:strCache>
            </c:strRef>
          </c:tx>
          <c:spPr>
            <a:solidFill>
              <a:srgbClr val="FCAF17"/>
            </a:solidFill>
            <a:ln w="25400">
              <a:noFill/>
            </a:ln>
          </c:spPr>
          <c:invertIfNegative val="0"/>
          <c:cat>
            <c:strRef>
              <c:f>'PAV (2)'!$B$11:$B$38</c:f>
              <c:strCache>
                <c:ptCount val="28"/>
                <c:pt idx="0">
                  <c:v>Graikija</c:v>
                </c:pt>
                <c:pt idx="1">
                  <c:v>Kroatija</c:v>
                </c:pt>
                <c:pt idx="2">
                  <c:v>Nyderlandai</c:v>
                </c:pt>
                <c:pt idx="3">
                  <c:v>Slovėnija</c:v>
                </c:pt>
                <c:pt idx="4">
                  <c:v>Italija</c:v>
                </c:pt>
                <c:pt idx="5">
                  <c:v>Danija</c:v>
                </c:pt>
                <c:pt idx="6">
                  <c:v>Estija</c:v>
                </c:pt>
                <c:pt idx="7">
                  <c:v>Bulgarija</c:v>
                </c:pt>
                <c:pt idx="8">
                  <c:v>Latvija</c:v>
                </c:pt>
                <c:pt idx="9">
                  <c:v>Suomija</c:v>
                </c:pt>
                <c:pt idx="10">
                  <c:v>Belgija</c:v>
                </c:pt>
                <c:pt idx="11">
                  <c:v>Lenkija</c:v>
                </c:pt>
                <c:pt idx="12">
                  <c:v>Kipras</c:v>
                </c:pt>
                <c:pt idx="13">
                  <c:v>Malta</c:v>
                </c:pt>
                <c:pt idx="14">
                  <c:v>Portugalija</c:v>
                </c:pt>
                <c:pt idx="15">
                  <c:v>Slovakija</c:v>
                </c:pt>
                <c:pt idx="16">
                  <c:v>ES 27</c:v>
                </c:pt>
                <c:pt idx="17">
                  <c:v>Prancūzija</c:v>
                </c:pt>
                <c:pt idx="18">
                  <c:v>Austrija</c:v>
                </c:pt>
                <c:pt idx="19">
                  <c:v>Vengrija</c:v>
                </c:pt>
                <c:pt idx="20">
                  <c:v>Rumunija</c:v>
                </c:pt>
                <c:pt idx="21">
                  <c:v>Švedija</c:v>
                </c:pt>
                <c:pt idx="22">
                  <c:v>Čekija</c:v>
                </c:pt>
                <c:pt idx="23">
                  <c:v>Lietuva</c:v>
                </c:pt>
                <c:pt idx="24">
                  <c:v>Vokietija</c:v>
                </c:pt>
                <c:pt idx="25">
                  <c:v>Ispanija</c:v>
                </c:pt>
                <c:pt idx="26">
                  <c:v>Liuksemburgas</c:v>
                </c:pt>
                <c:pt idx="27">
                  <c:v>Airija</c:v>
                </c:pt>
              </c:strCache>
            </c:strRef>
          </c:cat>
          <c:val>
            <c:numRef>
              <c:f>'PAV (2)'!$F$11:$F$38</c:f>
              <c:numCache>
                <c:formatCode>#,##0.00</c:formatCode>
                <c:ptCount val="28"/>
                <c:pt idx="0" formatCode="#,##0">
                  <c:v>0</c:v>
                </c:pt>
                <c:pt idx="1">
                  <c:v>0.03</c:v>
                </c:pt>
                <c:pt idx="2">
                  <c:v>0.43</c:v>
                </c:pt>
                <c:pt idx="3">
                  <c:v>0.12</c:v>
                </c:pt>
                <c:pt idx="4">
                  <c:v>0.03</c:v>
                </c:pt>
                <c:pt idx="5">
                  <c:v>0.16</c:v>
                </c:pt>
                <c:pt idx="6">
                  <c:v>0.21</c:v>
                </c:pt>
                <c:pt idx="7">
                  <c:v>0.05</c:v>
                </c:pt>
                <c:pt idx="8" formatCode="#\ ##0.0">
                  <c:v>0.1</c:v>
                </c:pt>
                <c:pt idx="9">
                  <c:v>0.02</c:v>
                </c:pt>
                <c:pt idx="10">
                  <c:v>0.11</c:v>
                </c:pt>
                <c:pt idx="11">
                  <c:v>0.11</c:v>
                </c:pt>
                <c:pt idx="12">
                  <c:v>0.01</c:v>
                </c:pt>
                <c:pt idx="13">
                  <c:v>0.24</c:v>
                </c:pt>
                <c:pt idx="14">
                  <c:v>0.03</c:v>
                </c:pt>
                <c:pt idx="15">
                  <c:v>0.03</c:v>
                </c:pt>
                <c:pt idx="16">
                  <c:v>0.08</c:v>
                </c:pt>
                <c:pt idx="17">
                  <c:v>0.12</c:v>
                </c:pt>
                <c:pt idx="18">
                  <c:v>0.02</c:v>
                </c:pt>
                <c:pt idx="19">
                  <c:v>0.23</c:v>
                </c:pt>
                <c:pt idx="20" formatCode="#,##0">
                  <c:v>0</c:v>
                </c:pt>
                <c:pt idx="21">
                  <c:v>0.05</c:v>
                </c:pt>
                <c:pt idx="22">
                  <c:v>0.01</c:v>
                </c:pt>
                <c:pt idx="23">
                  <c:v>0.09</c:v>
                </c:pt>
                <c:pt idx="24" formatCode="#,##0">
                  <c:v>0</c:v>
                </c:pt>
                <c:pt idx="25">
                  <c:v>0.08</c:v>
                </c:pt>
                <c:pt idx="26">
                  <c:v>0.02</c:v>
                </c:pt>
                <c:pt idx="27">
                  <c:v>0.01</c:v>
                </c:pt>
              </c:numCache>
            </c:numRef>
          </c:val>
          <c:extLst xmlns:c16r2="http://schemas.microsoft.com/office/drawing/2015/06/chart">
            <c:ext xmlns:c16="http://schemas.microsoft.com/office/drawing/2014/chart" uri="{C3380CC4-5D6E-409C-BE32-E72D297353CC}">
              <c16:uniqueId val="{00000002-7203-4C54-BD9F-642C27D1C42A}"/>
            </c:ext>
          </c:extLst>
        </c:ser>
        <c:dLbls>
          <c:showLegendKey val="0"/>
          <c:showVal val="0"/>
          <c:showCatName val="0"/>
          <c:showSerName val="0"/>
          <c:showPercent val="0"/>
          <c:showBubbleSize val="0"/>
        </c:dLbls>
        <c:gapWidth val="35"/>
        <c:overlap val="100"/>
        <c:axId val="58477184"/>
        <c:axId val="59004032"/>
      </c:barChart>
      <c:catAx>
        <c:axId val="58477184"/>
        <c:scaling>
          <c:orientation val="minMax"/>
        </c:scaling>
        <c:delete val="0"/>
        <c:axPos val="b"/>
        <c:numFmt formatCode="General" sourceLinked="1"/>
        <c:majorTickMark val="none"/>
        <c:minorTickMark val="none"/>
        <c:tickLblPos val="low"/>
        <c:spPr>
          <a:noFill/>
          <a:ln w="6350" cap="flat" cmpd="thinThick" algn="ctr">
            <a:solidFill>
              <a:srgbClr val="A6A6A6"/>
            </a:solidFill>
            <a:round/>
          </a:ln>
          <a:effectLst/>
        </c:spPr>
        <c:txPr>
          <a:bodyPr rot="-60000000" vert="horz"/>
          <a:lstStyle/>
          <a:p>
            <a:pPr>
              <a:defRPr/>
            </a:pPr>
            <a:endParaRPr lang="lt-LT"/>
          </a:p>
        </c:txPr>
        <c:crossAx val="59004032"/>
        <c:crosses val="autoZero"/>
        <c:auto val="1"/>
        <c:lblAlgn val="ctr"/>
        <c:lblOffset val="100"/>
        <c:noMultiLvlLbl val="0"/>
      </c:catAx>
      <c:valAx>
        <c:axId val="59004032"/>
        <c:scaling>
          <c:orientation val="minMax"/>
        </c:scaling>
        <c:delete val="0"/>
        <c:axPos val="l"/>
        <c:majorGridlines>
          <c:spPr>
            <a:ln w="3175" cap="flat" cmpd="sng" algn="ctr">
              <a:solidFill>
                <a:srgbClr val="D9D9D9"/>
              </a:solidFill>
              <a:prstDash val="solid"/>
              <a:round/>
            </a:ln>
            <a:effectLst/>
          </c:spPr>
        </c:majorGridlines>
        <c:numFmt formatCode="#,##0.0" sourceLinked="0"/>
        <c:majorTickMark val="none"/>
        <c:minorTickMark val="none"/>
        <c:tickLblPos val="nextTo"/>
        <c:spPr>
          <a:noFill/>
          <a:ln w="6350" cmpd="thinThick">
            <a:solidFill>
              <a:srgbClr val="A6A6A6"/>
            </a:solidFill>
          </a:ln>
          <a:effectLst/>
        </c:spPr>
        <c:txPr>
          <a:bodyPr rot="-60000000" vert="horz"/>
          <a:lstStyle/>
          <a:p>
            <a:pPr>
              <a:defRPr/>
            </a:pPr>
            <a:endParaRPr lang="lt-LT"/>
          </a:p>
        </c:txPr>
        <c:crossAx val="58477184"/>
        <c:crosses val="autoZero"/>
        <c:crossBetween val="between"/>
      </c:valAx>
      <c:spPr>
        <a:noFill/>
        <a:ln w="25400">
          <a:noFill/>
        </a:ln>
      </c:spPr>
    </c:plotArea>
    <c:legend>
      <c:legendPos val="b"/>
      <c:layout>
        <c:manualLayout>
          <c:xMode val="edge"/>
          <c:yMode val="edge"/>
          <c:x val="0.12975041015800626"/>
          <c:y val="0.84891921562689276"/>
          <c:w val="0.66292952068774214"/>
          <c:h val="6.9350015142337976E-2"/>
        </c:manualLayout>
      </c:layout>
      <c:overlay val="0"/>
      <c:spPr>
        <a:noFill/>
        <a:ln w="25400">
          <a:noFill/>
        </a:ln>
      </c:spPr>
      <c:txPr>
        <a:bodyPr rot="0" vert="horz"/>
        <a:lstStyle/>
        <a:p>
          <a:pPr>
            <a:defRPr/>
          </a:pPr>
          <a:endParaRPr lang="lt-LT"/>
        </a:p>
      </c:txPr>
    </c:legend>
    <c:plotVisOnly val="1"/>
    <c:dispBlanksAs val="gap"/>
    <c:showDLblsOverMax val="0"/>
  </c:chart>
  <c:spPr>
    <a:noFill/>
    <a:ln w="6350">
      <a:noFill/>
    </a:ln>
  </c:spPr>
  <c:txPr>
    <a:bodyPr/>
    <a:lstStyle/>
    <a:p>
      <a:pPr>
        <a:defRPr sz="700">
          <a:latin typeface="Verdana" panose="020B0604030504040204" pitchFamily="34" charset="0"/>
          <a:ea typeface="Verdana" panose="020B0604030504040204" pitchFamily="34" charset="0"/>
        </a:defRPr>
      </a:pPr>
      <a:endParaRPr lang="lt-LT"/>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548637038755712E-2"/>
          <c:y val="8.8896030853286193E-2"/>
          <c:w val="0.87929167832857957"/>
          <c:h val="0.52704767695395782"/>
        </c:manualLayout>
      </c:layout>
      <c:barChart>
        <c:barDir val="col"/>
        <c:grouping val="clustered"/>
        <c:varyColors val="0"/>
        <c:ser>
          <c:idx val="0"/>
          <c:order val="0"/>
          <c:tx>
            <c:strRef>
              <c:f>Sheet1!$B$24</c:f>
              <c:strCache>
                <c:ptCount val="1"/>
                <c:pt idx="0">
                  <c:v>Akcizo tarifas 2021 m.</c:v>
                </c:pt>
              </c:strCache>
            </c:strRef>
          </c:tx>
          <c:spPr>
            <a:solidFill>
              <a:srgbClr val="0097D6"/>
            </a:solidFill>
            <a:ln>
              <a:noFill/>
            </a:ln>
            <a:effectLst/>
            <a:extLst>
              <a:ext uri="{91240B29-F687-4F45-9708-019B960494DF}">
                <a14:hiddenLine xmlns:a14="http://schemas.microsoft.com/office/drawing/2010/main">
                  <a:noFill/>
                </a14:hiddenLine>
              </a:ext>
            </a:extLst>
          </c:spPr>
          <c:invertIfNegative val="0"/>
          <c:cat>
            <c:strRef>
              <c:f>Sheet1!$A$25:$A$31</c:f>
              <c:strCache>
                <c:ptCount val="7"/>
                <c:pt idx="0">
                  <c:v>Bešvinis benzinas</c:v>
                </c:pt>
                <c:pt idx="1">
                  <c:v>Žibalas</c:v>
                </c:pt>
                <c:pt idx="2">
                  <c:v>Gazoliai</c:v>
                </c:pt>
                <c:pt idx="3">
                  <c:v>Gazoliai šildymui </c:v>
                </c:pt>
                <c:pt idx="4">
                  <c:v>Gazoliai žemės ūkiui </c:v>
                </c:pt>
                <c:pt idx="5">
                  <c:v>Skystas kuras</c:v>
                </c:pt>
                <c:pt idx="6">
                  <c:v>Naftos dujoms ir dujiniams angliavandeniliams buitinėms reikmėms </c:v>
                </c:pt>
              </c:strCache>
            </c:strRef>
          </c:cat>
          <c:val>
            <c:numRef>
              <c:f>Sheet1!$B$25:$B$31</c:f>
              <c:numCache>
                <c:formatCode>0.00</c:formatCode>
                <c:ptCount val="7"/>
                <c:pt idx="0">
                  <c:v>87.202980769230749</c:v>
                </c:pt>
                <c:pt idx="1">
                  <c:v>103.97266799999994</c:v>
                </c:pt>
                <c:pt idx="2">
                  <c:v>63.250561538461568</c:v>
                </c:pt>
                <c:pt idx="3">
                  <c:v>187.63738461538469</c:v>
                </c:pt>
                <c:pt idx="4">
                  <c:v>130.06231153846153</c:v>
                </c:pt>
                <c:pt idx="5">
                  <c:v>54.548878260869557</c:v>
                </c:pt>
                <c:pt idx="6">
                  <c:v>223.91424615384614</c:v>
                </c:pt>
              </c:numCache>
            </c:numRef>
          </c:val>
          <c:extLst xmlns:c16r2="http://schemas.microsoft.com/office/drawing/2015/06/chart">
            <c:ext xmlns:c16="http://schemas.microsoft.com/office/drawing/2014/chart" uri="{C3380CC4-5D6E-409C-BE32-E72D297353CC}">
              <c16:uniqueId val="{00000000-C125-40C5-8377-8FD3B8C84406}"/>
            </c:ext>
          </c:extLst>
        </c:ser>
        <c:ser>
          <c:idx val="1"/>
          <c:order val="1"/>
          <c:tx>
            <c:strRef>
              <c:f>Sheet1!$C$24</c:f>
              <c:strCache>
                <c:ptCount val="1"/>
                <c:pt idx="0">
                  <c:v>Akcizo tarifas nuo 2023 m. </c:v>
                </c:pt>
              </c:strCache>
            </c:strRef>
          </c:tx>
          <c:spPr>
            <a:solidFill>
              <a:srgbClr val="FCAF17"/>
            </a:solidFill>
            <a:ln>
              <a:noFill/>
            </a:ln>
            <a:effectLst/>
            <a:extLst>
              <a:ext uri="{91240B29-F687-4F45-9708-019B960494DF}">
                <a14:hiddenLine xmlns:a14="http://schemas.microsoft.com/office/drawing/2010/main">
                  <a:noFill/>
                </a14:hiddenLine>
              </a:ext>
            </a:extLst>
          </c:spPr>
          <c:invertIfNegative val="0"/>
          <c:cat>
            <c:strRef>
              <c:f>Sheet1!$A$25:$A$31</c:f>
              <c:strCache>
                <c:ptCount val="7"/>
                <c:pt idx="0">
                  <c:v>Bešvinis benzinas</c:v>
                </c:pt>
                <c:pt idx="1">
                  <c:v>Žibalas</c:v>
                </c:pt>
                <c:pt idx="2">
                  <c:v>Gazoliai</c:v>
                </c:pt>
                <c:pt idx="3">
                  <c:v>Gazoliai šildymui </c:v>
                </c:pt>
                <c:pt idx="4">
                  <c:v>Gazoliai žemės ūkiui </c:v>
                </c:pt>
                <c:pt idx="5">
                  <c:v>Skystas kuras</c:v>
                </c:pt>
                <c:pt idx="6">
                  <c:v>Naftos dujoms ir dujiniams angliavandeniliams buitinėms reikmėms </c:v>
                </c:pt>
              </c:strCache>
            </c:strRef>
          </c:cat>
          <c:val>
            <c:numRef>
              <c:f>Sheet1!$C$25:$C$31</c:f>
              <c:numCache>
                <c:formatCode>0.00</c:formatCode>
                <c:ptCount val="7"/>
                <c:pt idx="0">
                  <c:v>87.202980769230749</c:v>
                </c:pt>
                <c:pt idx="1">
                  <c:v>103.97266799999994</c:v>
                </c:pt>
                <c:pt idx="2">
                  <c:v>25.250561538461568</c:v>
                </c:pt>
                <c:pt idx="3">
                  <c:v>68.777384615384676</c:v>
                </c:pt>
                <c:pt idx="4">
                  <c:v>130.06231153846153</c:v>
                </c:pt>
                <c:pt idx="5">
                  <c:v>54.548878260869557</c:v>
                </c:pt>
                <c:pt idx="6">
                  <c:v>-80.185753846153887</c:v>
                </c:pt>
              </c:numCache>
            </c:numRef>
          </c:val>
          <c:extLst xmlns:c16r2="http://schemas.microsoft.com/office/drawing/2015/06/chart">
            <c:ext xmlns:c16="http://schemas.microsoft.com/office/drawing/2014/chart" uri="{C3380CC4-5D6E-409C-BE32-E72D297353CC}">
              <c16:uniqueId val="{00000001-C125-40C5-8377-8FD3B8C84406}"/>
            </c:ext>
          </c:extLst>
        </c:ser>
        <c:ser>
          <c:idx val="2"/>
          <c:order val="2"/>
          <c:tx>
            <c:strRef>
              <c:f>Sheet1!$D$24</c:f>
              <c:strCache>
                <c:ptCount val="1"/>
                <c:pt idx="0">
                  <c:v>Akcizo tarifas nuo 2024 m. </c:v>
                </c:pt>
              </c:strCache>
            </c:strRef>
          </c:tx>
          <c:spPr>
            <a:solidFill>
              <a:srgbClr val="E31C48"/>
            </a:solidFill>
            <a:ln>
              <a:noFill/>
            </a:ln>
            <a:effectLst/>
            <a:extLst>
              <a:ext uri="{91240B29-F687-4F45-9708-019B960494DF}">
                <a14:hiddenLine xmlns:a14="http://schemas.microsoft.com/office/drawing/2010/main">
                  <a:noFill/>
                </a14:hiddenLine>
              </a:ext>
            </a:extLst>
          </c:spPr>
          <c:invertIfNegative val="0"/>
          <c:cat>
            <c:strRef>
              <c:f>Sheet1!$A$25:$A$31</c:f>
              <c:strCache>
                <c:ptCount val="7"/>
                <c:pt idx="0">
                  <c:v>Bešvinis benzinas</c:v>
                </c:pt>
                <c:pt idx="1">
                  <c:v>Žibalas</c:v>
                </c:pt>
                <c:pt idx="2">
                  <c:v>Gazoliai</c:v>
                </c:pt>
                <c:pt idx="3">
                  <c:v>Gazoliai šildymui </c:v>
                </c:pt>
                <c:pt idx="4">
                  <c:v>Gazoliai žemės ūkiui </c:v>
                </c:pt>
                <c:pt idx="5">
                  <c:v>Skystas kuras</c:v>
                </c:pt>
                <c:pt idx="6">
                  <c:v>Naftos dujoms ir dujiniams angliavandeniliams buitinėms reikmėms </c:v>
                </c:pt>
              </c:strCache>
            </c:strRef>
          </c:cat>
          <c:val>
            <c:numRef>
              <c:f>Sheet1!$D$25:$D$31</c:f>
              <c:numCache>
                <c:formatCode>0.00</c:formatCode>
                <c:ptCount val="7"/>
                <c:pt idx="0">
                  <c:v>87.202980769230749</c:v>
                </c:pt>
                <c:pt idx="1">
                  <c:v>103.97266799999994</c:v>
                </c:pt>
                <c:pt idx="2">
                  <c:v>-30.749438461538432</c:v>
                </c:pt>
                <c:pt idx="3">
                  <c:v>-163.22261538461532</c:v>
                </c:pt>
                <c:pt idx="4">
                  <c:v>130.06231153846153</c:v>
                </c:pt>
                <c:pt idx="5">
                  <c:v>54.548878260869557</c:v>
                </c:pt>
                <c:pt idx="6">
                  <c:v>-80.185753846153887</c:v>
                </c:pt>
              </c:numCache>
            </c:numRef>
          </c:val>
          <c:extLst xmlns:c16r2="http://schemas.microsoft.com/office/drawing/2015/06/chart">
            <c:ext xmlns:c16="http://schemas.microsoft.com/office/drawing/2014/chart" uri="{C3380CC4-5D6E-409C-BE32-E72D297353CC}">
              <c16:uniqueId val="{00000002-C125-40C5-8377-8FD3B8C84406}"/>
            </c:ext>
          </c:extLst>
        </c:ser>
        <c:ser>
          <c:idx val="3"/>
          <c:order val="3"/>
          <c:tx>
            <c:strRef>
              <c:f>Sheet1!$E$24</c:f>
              <c:strCache>
                <c:ptCount val="1"/>
                <c:pt idx="0">
                  <c:v>Akcizo tarifas nuo 2025 m. </c:v>
                </c:pt>
              </c:strCache>
            </c:strRef>
          </c:tx>
          <c:spPr>
            <a:solidFill>
              <a:srgbClr val="00B07D"/>
            </a:solidFill>
            <a:ln>
              <a:noFill/>
            </a:ln>
            <a:effectLst/>
            <a:extLst>
              <a:ext uri="{91240B29-F687-4F45-9708-019B960494DF}">
                <a14:hiddenLine xmlns:a14="http://schemas.microsoft.com/office/drawing/2010/main">
                  <a:noFill/>
                </a14:hiddenLine>
              </a:ext>
            </a:extLst>
          </c:spPr>
          <c:invertIfNegative val="0"/>
          <c:cat>
            <c:strRef>
              <c:f>Sheet1!$A$25:$A$31</c:f>
              <c:strCache>
                <c:ptCount val="7"/>
                <c:pt idx="0">
                  <c:v>Bešvinis benzinas</c:v>
                </c:pt>
                <c:pt idx="1">
                  <c:v>Žibalas</c:v>
                </c:pt>
                <c:pt idx="2">
                  <c:v>Gazoliai</c:v>
                </c:pt>
                <c:pt idx="3">
                  <c:v>Gazoliai šildymui </c:v>
                </c:pt>
                <c:pt idx="4">
                  <c:v>Gazoliai žemės ūkiui </c:v>
                </c:pt>
                <c:pt idx="5">
                  <c:v>Skystas kuras</c:v>
                </c:pt>
                <c:pt idx="6">
                  <c:v>Naftos dujoms ir dujiniams angliavandeniliams buitinėms reikmėms </c:v>
                </c:pt>
              </c:strCache>
            </c:strRef>
          </c:cat>
          <c:val>
            <c:numRef>
              <c:f>Sheet1!$E$25:$E$31</c:f>
              <c:numCache>
                <c:formatCode>0.00</c:formatCode>
                <c:ptCount val="7"/>
                <c:pt idx="0">
                  <c:v>63.202980769230749</c:v>
                </c:pt>
                <c:pt idx="1">
                  <c:v>76.872667999999919</c:v>
                </c:pt>
                <c:pt idx="2">
                  <c:v>-56.949438461538421</c:v>
                </c:pt>
                <c:pt idx="3">
                  <c:v>-189.42261538461531</c:v>
                </c:pt>
                <c:pt idx="4">
                  <c:v>103.86231153846153</c:v>
                </c:pt>
                <c:pt idx="5">
                  <c:v>23.948878260869556</c:v>
                </c:pt>
                <c:pt idx="6">
                  <c:v>-111.38575384615388</c:v>
                </c:pt>
              </c:numCache>
            </c:numRef>
          </c:val>
          <c:extLst xmlns:c16r2="http://schemas.microsoft.com/office/drawing/2015/06/chart">
            <c:ext xmlns:c16="http://schemas.microsoft.com/office/drawing/2014/chart" uri="{C3380CC4-5D6E-409C-BE32-E72D297353CC}">
              <c16:uniqueId val="{00000003-C125-40C5-8377-8FD3B8C84406}"/>
            </c:ext>
          </c:extLst>
        </c:ser>
        <c:dLbls>
          <c:showLegendKey val="0"/>
          <c:showVal val="0"/>
          <c:showCatName val="0"/>
          <c:showSerName val="0"/>
          <c:showPercent val="0"/>
          <c:showBubbleSize val="0"/>
        </c:dLbls>
        <c:gapWidth val="100"/>
        <c:axId val="79232000"/>
        <c:axId val="84443904"/>
      </c:barChart>
      <c:catAx>
        <c:axId val="79232000"/>
        <c:scaling>
          <c:orientation val="minMax"/>
        </c:scaling>
        <c:delete val="0"/>
        <c:axPos val="b"/>
        <c:numFmt formatCode="General" sourceLinked="1"/>
        <c:majorTickMark val="none"/>
        <c:minorTickMark val="none"/>
        <c:tickLblPos val="low"/>
        <c:spPr>
          <a:noFill/>
          <a:ln w="6350" cap="flat" cmpd="thinThick" algn="ctr">
            <a:solidFill>
              <a:srgbClr val="A6A6A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Verdana"/>
                <a:ea typeface="Verdana"/>
                <a:cs typeface="Verdana"/>
              </a:defRPr>
            </a:pPr>
            <a:endParaRPr lang="lt-LT"/>
          </a:p>
        </c:txPr>
        <c:crossAx val="84443904"/>
        <c:crosses val="autoZero"/>
        <c:auto val="1"/>
        <c:lblAlgn val="ctr"/>
        <c:lblOffset val="100"/>
        <c:noMultiLvlLbl val="0"/>
      </c:catAx>
      <c:valAx>
        <c:axId val="84443904"/>
        <c:scaling>
          <c:orientation val="minMax"/>
        </c:scaling>
        <c:delete val="0"/>
        <c:axPos val="l"/>
        <c:majorGridlines>
          <c:spPr>
            <a:ln w="3175" cap="flat" cmpd="sng" algn="ctr">
              <a:solidFill>
                <a:srgbClr val="D9D9D9"/>
              </a:solidFill>
              <a:prstDash val="solid"/>
              <a:round/>
            </a:ln>
            <a:effectLst/>
          </c:spPr>
        </c:majorGridlines>
        <c:numFmt formatCode="#0;\−#0" sourceLinked="0"/>
        <c:majorTickMark val="none"/>
        <c:minorTickMark val="none"/>
        <c:tickLblPos val="nextTo"/>
        <c:spPr>
          <a:noFill/>
          <a:ln w="6350" cmpd="thinThick">
            <a:solidFill>
              <a:srgbClr val="A6A6A6"/>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a:ea typeface="Verdana"/>
                <a:cs typeface="Verdana"/>
              </a:defRPr>
            </a:pPr>
            <a:endParaRPr lang="lt-LT"/>
          </a:p>
        </c:txPr>
        <c:crossAx val="79232000"/>
        <c:crosses val="autoZero"/>
        <c:crossBetween val="between"/>
      </c:valAx>
      <c:spPr>
        <a:noFill/>
        <a:ln>
          <a:noFill/>
        </a:ln>
        <a:effectLst/>
        <a:extLst>
          <a:ext uri="{91240B29-F687-4F45-9708-019B960494DF}">
            <a14:hiddenLine xmlns:a14="http://schemas.microsoft.com/office/drawing/2010/main">
              <a:noFill/>
            </a14:hiddenLine>
          </a:ext>
        </a:extLst>
      </c:spPr>
    </c:plotArea>
    <c:legend>
      <c:legendPos val="b"/>
      <c:layout>
        <c:manualLayout>
          <c:xMode val="edge"/>
          <c:yMode val="edge"/>
          <c:x val="1.9785183519411623E-2"/>
          <c:y val="0.71704399261521612"/>
          <c:w val="0.80412079422884963"/>
          <c:h val="9.549866174562281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lt-LT"/>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990582410486481E-2"/>
          <c:y val="7.2637519435163778E-2"/>
          <c:w val="0.92409657871000128"/>
          <c:h val="0.69259911970761101"/>
        </c:manualLayout>
      </c:layout>
      <c:barChart>
        <c:barDir val="col"/>
        <c:grouping val="clustered"/>
        <c:varyColors val="0"/>
        <c:ser>
          <c:idx val="0"/>
          <c:order val="0"/>
          <c:tx>
            <c:strRef>
              <c:f>Sheet5!$J$2</c:f>
              <c:strCache>
                <c:ptCount val="1"/>
                <c:pt idx="0">
                  <c:v>2021 m. efektyvusis CO2 mokesčio tarifas</c:v>
                </c:pt>
              </c:strCache>
            </c:strRef>
          </c:tx>
          <c:spPr>
            <a:solidFill>
              <a:srgbClr val="00B07D"/>
            </a:solidFill>
            <a:ln>
              <a:noFill/>
            </a:ln>
            <a:effectLst/>
            <a:extLst>
              <a:ext uri="{91240B29-F687-4F45-9708-019B960494DF}">
                <a14:hiddenLine xmlns:a14="http://schemas.microsoft.com/office/drawing/2010/main">
                  <a:noFill/>
                </a14:hiddenLine>
              </a:ext>
            </a:extLst>
          </c:spPr>
          <c:invertIfNegative val="0"/>
          <c:cat>
            <c:strRef>
              <c:f>Sheet5!$I$3:$I$18</c:f>
              <c:strCache>
                <c:ptCount val="16"/>
                <c:pt idx="0">
                  <c:v>Lenkija</c:v>
                </c:pt>
                <c:pt idx="1">
                  <c:v>Estija</c:v>
                </c:pt>
                <c:pt idx="2">
                  <c:v>Latvija</c:v>
                </c:pt>
                <c:pt idx="3">
                  <c:v>Ispanija</c:v>
                </c:pt>
                <c:pt idx="4">
                  <c:v>Nyderlandai</c:v>
                </c:pt>
                <c:pt idx="5">
                  <c:v>JK</c:v>
                </c:pt>
                <c:pt idx="6">
                  <c:v>Portugalija</c:v>
                </c:pt>
                <c:pt idx="7">
                  <c:v>Danija</c:v>
                </c:pt>
                <c:pt idx="8">
                  <c:v>Slovėnija</c:v>
                </c:pt>
                <c:pt idx="9">
                  <c:v>Prancūzija</c:v>
                </c:pt>
                <c:pt idx="10">
                  <c:v>Airija</c:v>
                </c:pt>
                <c:pt idx="11">
                  <c:v>Liuksemburgas</c:v>
                </c:pt>
                <c:pt idx="12">
                  <c:v>Norvegija</c:v>
                </c:pt>
                <c:pt idx="13">
                  <c:v>Suomija</c:v>
                </c:pt>
                <c:pt idx="14">
                  <c:v>Šveicarija</c:v>
                </c:pt>
                <c:pt idx="15">
                  <c:v>Švedija</c:v>
                </c:pt>
              </c:strCache>
            </c:strRef>
          </c:cat>
          <c:val>
            <c:numRef>
              <c:f>Sheet5!$J$3:$J$18</c:f>
              <c:numCache>
                <c:formatCode>General</c:formatCode>
                <c:ptCount val="16"/>
                <c:pt idx="0">
                  <c:v>3.5020136578532658E-3</c:v>
                </c:pt>
                <c:pt idx="1">
                  <c:v>0.12081947119593764</c:v>
                </c:pt>
                <c:pt idx="2">
                  <c:v>0.37033794431798278</c:v>
                </c:pt>
                <c:pt idx="3">
                  <c:v>0.46226580283663105</c:v>
                </c:pt>
                <c:pt idx="4">
                  <c:v>3.6981264226930484</c:v>
                </c:pt>
                <c:pt idx="5">
                  <c:v>4.9938714760987564</c:v>
                </c:pt>
                <c:pt idx="6">
                  <c:v>7.1598669234810002</c:v>
                </c:pt>
                <c:pt idx="7">
                  <c:v>7.921117142356854</c:v>
                </c:pt>
                <c:pt idx="8">
                  <c:v>8.8863596568026608</c:v>
                </c:pt>
                <c:pt idx="9">
                  <c:v>16.056732621257218</c:v>
                </c:pt>
                <c:pt idx="10">
                  <c:v>16.859569252320078</c:v>
                </c:pt>
                <c:pt idx="11">
                  <c:v>18.096655576956749</c:v>
                </c:pt>
                <c:pt idx="12">
                  <c:v>21.148660479775874</c:v>
                </c:pt>
                <c:pt idx="13">
                  <c:v>21.290492032918923</c:v>
                </c:pt>
                <c:pt idx="14">
                  <c:v>29.324986867448782</c:v>
                </c:pt>
                <c:pt idx="15">
                  <c:v>48.0476273857468</c:v>
                </c:pt>
              </c:numCache>
            </c:numRef>
          </c:val>
          <c:extLst xmlns:c16r2="http://schemas.microsoft.com/office/drawing/2015/06/chart">
            <c:ext xmlns:c16="http://schemas.microsoft.com/office/drawing/2014/chart" uri="{C3380CC4-5D6E-409C-BE32-E72D297353CC}">
              <c16:uniqueId val="{00000000-778F-4EDE-9818-EA6C405B3F57}"/>
            </c:ext>
          </c:extLst>
        </c:ser>
        <c:dLbls>
          <c:showLegendKey val="0"/>
          <c:showVal val="0"/>
          <c:showCatName val="0"/>
          <c:showSerName val="0"/>
          <c:showPercent val="0"/>
          <c:showBubbleSize val="0"/>
        </c:dLbls>
        <c:gapWidth val="35"/>
        <c:overlap val="-27"/>
        <c:axId val="99302016"/>
        <c:axId val="99320192"/>
      </c:barChart>
      <c:lineChart>
        <c:grouping val="standard"/>
        <c:varyColors val="0"/>
        <c:ser>
          <c:idx val="1"/>
          <c:order val="1"/>
          <c:tx>
            <c:strRef>
              <c:f>Sheet5!$K$2</c:f>
              <c:strCache>
                <c:ptCount val="1"/>
                <c:pt idx="0">
                  <c:v>Lietuvos efektyvusis CO2 dedamosios tarifas, kai standartinis 10 Eur/CO2t (2025)</c:v>
                </c:pt>
              </c:strCache>
            </c:strRef>
          </c:tx>
          <c:spPr>
            <a:ln w="28575" cap="rnd">
              <a:solidFill>
                <a:schemeClr val="accent2"/>
              </a:solidFill>
              <a:round/>
            </a:ln>
            <a:effectLst/>
          </c:spPr>
          <c:marker>
            <c:symbol val="none"/>
          </c:marker>
          <c:val>
            <c:numRef>
              <c:f>Sheet5!$K$3:$K$18</c:f>
              <c:numCache>
                <c:formatCode>General</c:formatCode>
                <c:ptCount val="16"/>
                <c:pt idx="0">
                  <c:v>3.8504461096318541</c:v>
                </c:pt>
                <c:pt idx="1">
                  <c:v>3.8504461096318541</c:v>
                </c:pt>
                <c:pt idx="2">
                  <c:v>3.8504461096318541</c:v>
                </c:pt>
                <c:pt idx="3">
                  <c:v>3.8504461096318541</c:v>
                </c:pt>
                <c:pt idx="4">
                  <c:v>3.8504461096318541</c:v>
                </c:pt>
                <c:pt idx="5">
                  <c:v>3.8504461096318541</c:v>
                </c:pt>
                <c:pt idx="6">
                  <c:v>3.8504461096318541</c:v>
                </c:pt>
                <c:pt idx="7">
                  <c:v>3.8504461096318541</c:v>
                </c:pt>
                <c:pt idx="8">
                  <c:v>3.8504461096318541</c:v>
                </c:pt>
                <c:pt idx="9">
                  <c:v>3.8504461096318541</c:v>
                </c:pt>
                <c:pt idx="10">
                  <c:v>3.8504461096318541</c:v>
                </c:pt>
                <c:pt idx="11">
                  <c:v>3.8504461096318541</c:v>
                </c:pt>
                <c:pt idx="12">
                  <c:v>3.8504461096318541</c:v>
                </c:pt>
                <c:pt idx="13">
                  <c:v>3.8504461096318541</c:v>
                </c:pt>
                <c:pt idx="14">
                  <c:v>3.8504461096318541</c:v>
                </c:pt>
                <c:pt idx="15">
                  <c:v>3.8504461096318541</c:v>
                </c:pt>
              </c:numCache>
            </c:numRef>
          </c:val>
          <c:smooth val="0"/>
          <c:extLst xmlns:c16r2="http://schemas.microsoft.com/office/drawing/2015/06/chart">
            <c:ext xmlns:c16="http://schemas.microsoft.com/office/drawing/2014/chart" uri="{C3380CC4-5D6E-409C-BE32-E72D297353CC}">
              <c16:uniqueId val="{00000001-778F-4EDE-9818-EA6C405B3F57}"/>
            </c:ext>
          </c:extLst>
        </c:ser>
        <c:ser>
          <c:idx val="2"/>
          <c:order val="2"/>
          <c:tx>
            <c:strRef>
              <c:f>Sheet5!$L$2</c:f>
              <c:strCache>
                <c:ptCount val="1"/>
                <c:pt idx="0">
                  <c:v>Lietuvos efektyvusis CO2 dedamosios tarifas, kai standartinis 20 Eur/CO2t (2026)</c:v>
                </c:pt>
              </c:strCache>
            </c:strRef>
          </c:tx>
          <c:spPr>
            <a:ln w="28575" cap="rnd">
              <a:solidFill>
                <a:schemeClr val="accent3"/>
              </a:solidFill>
              <a:round/>
            </a:ln>
            <a:effectLst/>
          </c:spPr>
          <c:marker>
            <c:symbol val="none"/>
          </c:marker>
          <c:val>
            <c:numRef>
              <c:f>Sheet5!$L$3:$L$18</c:f>
              <c:numCache>
                <c:formatCode>General</c:formatCode>
                <c:ptCount val="16"/>
                <c:pt idx="0">
                  <c:v>7.7008922192637081</c:v>
                </c:pt>
                <c:pt idx="1">
                  <c:v>7.7008922192637081</c:v>
                </c:pt>
                <c:pt idx="2">
                  <c:v>7.7008922192637081</c:v>
                </c:pt>
                <c:pt idx="3">
                  <c:v>7.7008922192637081</c:v>
                </c:pt>
                <c:pt idx="4">
                  <c:v>7.7008922192637081</c:v>
                </c:pt>
                <c:pt idx="5">
                  <c:v>7.7008922192637081</c:v>
                </c:pt>
                <c:pt idx="6">
                  <c:v>7.7008922192637081</c:v>
                </c:pt>
                <c:pt idx="7">
                  <c:v>7.7008922192637081</c:v>
                </c:pt>
                <c:pt idx="8">
                  <c:v>7.7008922192637081</c:v>
                </c:pt>
                <c:pt idx="9">
                  <c:v>7.7008922192637081</c:v>
                </c:pt>
                <c:pt idx="10">
                  <c:v>7.7008922192637081</c:v>
                </c:pt>
                <c:pt idx="11">
                  <c:v>7.7008922192637081</c:v>
                </c:pt>
                <c:pt idx="12">
                  <c:v>7.7008922192637081</c:v>
                </c:pt>
                <c:pt idx="13">
                  <c:v>7.7008922192637081</c:v>
                </c:pt>
                <c:pt idx="14">
                  <c:v>7.7008922192637081</c:v>
                </c:pt>
                <c:pt idx="15">
                  <c:v>7.7008922192637081</c:v>
                </c:pt>
              </c:numCache>
            </c:numRef>
          </c:val>
          <c:smooth val="0"/>
          <c:extLst xmlns:c16r2="http://schemas.microsoft.com/office/drawing/2015/06/chart">
            <c:ext xmlns:c16="http://schemas.microsoft.com/office/drawing/2014/chart" uri="{C3380CC4-5D6E-409C-BE32-E72D297353CC}">
              <c16:uniqueId val="{00000002-778F-4EDE-9818-EA6C405B3F57}"/>
            </c:ext>
          </c:extLst>
        </c:ser>
        <c:ser>
          <c:idx val="3"/>
          <c:order val="3"/>
          <c:tx>
            <c:strRef>
              <c:f>Sheet5!$M$2</c:f>
              <c:strCache>
                <c:ptCount val="1"/>
                <c:pt idx="0">
                  <c:v>Lietuvos efektyvusis CO2 dedamosios tarifas, kai standartinis 30 Eur/CO2t (2027)</c:v>
                </c:pt>
              </c:strCache>
            </c:strRef>
          </c:tx>
          <c:spPr>
            <a:ln w="28575" cap="rnd">
              <a:solidFill>
                <a:schemeClr val="accent4"/>
              </a:solidFill>
              <a:round/>
            </a:ln>
            <a:effectLst/>
          </c:spPr>
          <c:marker>
            <c:symbol val="none"/>
          </c:marker>
          <c:val>
            <c:numRef>
              <c:f>Sheet5!$M$3:$M$18</c:f>
              <c:numCache>
                <c:formatCode>General</c:formatCode>
                <c:ptCount val="16"/>
                <c:pt idx="0">
                  <c:v>11.551338328895561</c:v>
                </c:pt>
                <c:pt idx="1">
                  <c:v>11.551338328895561</c:v>
                </c:pt>
                <c:pt idx="2">
                  <c:v>11.551338328895561</c:v>
                </c:pt>
                <c:pt idx="3">
                  <c:v>11.551338328895561</c:v>
                </c:pt>
                <c:pt idx="4">
                  <c:v>11.551338328895561</c:v>
                </c:pt>
                <c:pt idx="5">
                  <c:v>11.551338328895561</c:v>
                </c:pt>
                <c:pt idx="6">
                  <c:v>11.551338328895561</c:v>
                </c:pt>
                <c:pt idx="7">
                  <c:v>11.551338328895561</c:v>
                </c:pt>
                <c:pt idx="8">
                  <c:v>11.551338328895561</c:v>
                </c:pt>
                <c:pt idx="9">
                  <c:v>11.551338328895561</c:v>
                </c:pt>
                <c:pt idx="10">
                  <c:v>11.551338328895561</c:v>
                </c:pt>
                <c:pt idx="11">
                  <c:v>11.551338328895561</c:v>
                </c:pt>
                <c:pt idx="12">
                  <c:v>11.551338328895561</c:v>
                </c:pt>
                <c:pt idx="13">
                  <c:v>11.551338328895561</c:v>
                </c:pt>
                <c:pt idx="14">
                  <c:v>11.551338328895561</c:v>
                </c:pt>
                <c:pt idx="15">
                  <c:v>11.551338328895561</c:v>
                </c:pt>
              </c:numCache>
            </c:numRef>
          </c:val>
          <c:smooth val="0"/>
          <c:extLst xmlns:c16r2="http://schemas.microsoft.com/office/drawing/2015/06/chart">
            <c:ext xmlns:c16="http://schemas.microsoft.com/office/drawing/2014/chart" uri="{C3380CC4-5D6E-409C-BE32-E72D297353CC}">
              <c16:uniqueId val="{00000003-778F-4EDE-9818-EA6C405B3F57}"/>
            </c:ext>
          </c:extLst>
        </c:ser>
        <c:ser>
          <c:idx val="4"/>
          <c:order val="4"/>
          <c:tx>
            <c:strRef>
              <c:f>Sheet5!$N$2</c:f>
              <c:strCache>
                <c:ptCount val="1"/>
                <c:pt idx="0">
                  <c:v>Lietuvos efektyvusis CO2 dedamosios tarifas, kai standartinis 40 Eur/CO2t (2028)</c:v>
                </c:pt>
              </c:strCache>
            </c:strRef>
          </c:tx>
          <c:spPr>
            <a:ln w="28575" cap="rnd">
              <a:solidFill>
                <a:schemeClr val="accent5"/>
              </a:solidFill>
              <a:round/>
            </a:ln>
            <a:effectLst/>
          </c:spPr>
          <c:marker>
            <c:symbol val="none"/>
          </c:marker>
          <c:val>
            <c:numRef>
              <c:f>Sheet5!$N$3:$N$18</c:f>
              <c:numCache>
                <c:formatCode>General</c:formatCode>
                <c:ptCount val="16"/>
                <c:pt idx="0">
                  <c:v>15.401784438527416</c:v>
                </c:pt>
                <c:pt idx="1">
                  <c:v>15.401784438527416</c:v>
                </c:pt>
                <c:pt idx="2">
                  <c:v>15.401784438527416</c:v>
                </c:pt>
                <c:pt idx="3">
                  <c:v>15.401784438527416</c:v>
                </c:pt>
                <c:pt idx="4">
                  <c:v>15.401784438527416</c:v>
                </c:pt>
                <c:pt idx="5">
                  <c:v>15.401784438527416</c:v>
                </c:pt>
                <c:pt idx="6">
                  <c:v>15.401784438527416</c:v>
                </c:pt>
                <c:pt idx="7">
                  <c:v>15.401784438527416</c:v>
                </c:pt>
                <c:pt idx="8">
                  <c:v>15.401784438527416</c:v>
                </c:pt>
                <c:pt idx="9">
                  <c:v>15.401784438527416</c:v>
                </c:pt>
                <c:pt idx="10">
                  <c:v>15.401784438527416</c:v>
                </c:pt>
                <c:pt idx="11">
                  <c:v>15.401784438527416</c:v>
                </c:pt>
                <c:pt idx="12">
                  <c:v>15.401784438527416</c:v>
                </c:pt>
                <c:pt idx="13">
                  <c:v>15.401784438527416</c:v>
                </c:pt>
                <c:pt idx="14">
                  <c:v>15.401784438527416</c:v>
                </c:pt>
                <c:pt idx="15">
                  <c:v>15.401784438527416</c:v>
                </c:pt>
              </c:numCache>
            </c:numRef>
          </c:val>
          <c:smooth val="0"/>
          <c:extLst xmlns:c16r2="http://schemas.microsoft.com/office/drawing/2015/06/chart">
            <c:ext xmlns:c16="http://schemas.microsoft.com/office/drawing/2014/chart" uri="{C3380CC4-5D6E-409C-BE32-E72D297353CC}">
              <c16:uniqueId val="{00000004-778F-4EDE-9818-EA6C405B3F57}"/>
            </c:ext>
          </c:extLst>
        </c:ser>
        <c:ser>
          <c:idx val="5"/>
          <c:order val="5"/>
          <c:tx>
            <c:strRef>
              <c:f>Sheet5!$O$2</c:f>
              <c:strCache>
                <c:ptCount val="1"/>
                <c:pt idx="0">
                  <c:v>Lietuvos efektyvusis CO2 dedamosios tarifas, kai standartinis 50 Eur/CO2t (2029)</c:v>
                </c:pt>
              </c:strCache>
            </c:strRef>
          </c:tx>
          <c:spPr>
            <a:ln w="28575" cap="rnd">
              <a:solidFill>
                <a:schemeClr val="accent6"/>
              </a:solidFill>
              <a:round/>
            </a:ln>
            <a:effectLst/>
          </c:spPr>
          <c:marker>
            <c:symbol val="none"/>
          </c:marker>
          <c:val>
            <c:numRef>
              <c:f>Sheet5!$O$3:$O$18</c:f>
              <c:numCache>
                <c:formatCode>General</c:formatCode>
                <c:ptCount val="16"/>
                <c:pt idx="0">
                  <c:v>19.252230548159268</c:v>
                </c:pt>
                <c:pt idx="1">
                  <c:v>19.252230548159268</c:v>
                </c:pt>
                <c:pt idx="2">
                  <c:v>19.252230548159268</c:v>
                </c:pt>
                <c:pt idx="3">
                  <c:v>19.252230548159268</c:v>
                </c:pt>
                <c:pt idx="4">
                  <c:v>19.252230548159268</c:v>
                </c:pt>
                <c:pt idx="5">
                  <c:v>19.252230548159268</c:v>
                </c:pt>
                <c:pt idx="6">
                  <c:v>19.252230548159268</c:v>
                </c:pt>
                <c:pt idx="7">
                  <c:v>19.252230548159268</c:v>
                </c:pt>
                <c:pt idx="8">
                  <c:v>19.252230548159268</c:v>
                </c:pt>
                <c:pt idx="9">
                  <c:v>19.252230548159268</c:v>
                </c:pt>
                <c:pt idx="10">
                  <c:v>19.252230548159268</c:v>
                </c:pt>
                <c:pt idx="11">
                  <c:v>19.252230548159268</c:v>
                </c:pt>
                <c:pt idx="12">
                  <c:v>19.252230548159268</c:v>
                </c:pt>
                <c:pt idx="13">
                  <c:v>19.252230548159268</c:v>
                </c:pt>
                <c:pt idx="14">
                  <c:v>19.252230548159268</c:v>
                </c:pt>
                <c:pt idx="15">
                  <c:v>19.252230548159268</c:v>
                </c:pt>
              </c:numCache>
            </c:numRef>
          </c:val>
          <c:smooth val="0"/>
          <c:extLst xmlns:c16r2="http://schemas.microsoft.com/office/drawing/2015/06/chart">
            <c:ext xmlns:c16="http://schemas.microsoft.com/office/drawing/2014/chart" uri="{C3380CC4-5D6E-409C-BE32-E72D297353CC}">
              <c16:uniqueId val="{00000005-778F-4EDE-9818-EA6C405B3F57}"/>
            </c:ext>
          </c:extLst>
        </c:ser>
        <c:ser>
          <c:idx val="6"/>
          <c:order val="6"/>
          <c:tx>
            <c:strRef>
              <c:f>Sheet5!$P$2</c:f>
              <c:strCache>
                <c:ptCount val="1"/>
                <c:pt idx="0">
                  <c:v>Lietuvos efektyvusis CO2 dedamosios tarifas, kai standartinis 60 Eur/CO2t (2030)</c:v>
                </c:pt>
              </c:strCache>
            </c:strRef>
          </c:tx>
          <c:spPr>
            <a:ln w="28575" cap="rnd">
              <a:solidFill>
                <a:schemeClr val="accent1">
                  <a:lumMod val="60000"/>
                </a:schemeClr>
              </a:solidFill>
              <a:round/>
            </a:ln>
            <a:effectLst/>
          </c:spPr>
          <c:marker>
            <c:symbol val="none"/>
          </c:marker>
          <c:val>
            <c:numRef>
              <c:f>Sheet5!$P$3:$P$18</c:f>
              <c:numCache>
                <c:formatCode>General</c:formatCode>
                <c:ptCount val="16"/>
                <c:pt idx="0">
                  <c:v>23.102676657791122</c:v>
                </c:pt>
                <c:pt idx="1">
                  <c:v>23.102676657791122</c:v>
                </c:pt>
                <c:pt idx="2">
                  <c:v>23.102676657791122</c:v>
                </c:pt>
                <c:pt idx="3">
                  <c:v>23.102676657791122</c:v>
                </c:pt>
                <c:pt idx="4">
                  <c:v>23.102676657791122</c:v>
                </c:pt>
                <c:pt idx="5">
                  <c:v>23.102676657791122</c:v>
                </c:pt>
                <c:pt idx="6">
                  <c:v>23.102676657791122</c:v>
                </c:pt>
                <c:pt idx="7">
                  <c:v>23.102676657791122</c:v>
                </c:pt>
                <c:pt idx="8">
                  <c:v>23.102676657791122</c:v>
                </c:pt>
                <c:pt idx="9">
                  <c:v>23.102676657791122</c:v>
                </c:pt>
                <c:pt idx="10">
                  <c:v>23.102676657791122</c:v>
                </c:pt>
                <c:pt idx="11">
                  <c:v>23.102676657791122</c:v>
                </c:pt>
                <c:pt idx="12">
                  <c:v>23.102676657791122</c:v>
                </c:pt>
                <c:pt idx="13">
                  <c:v>23.102676657791122</c:v>
                </c:pt>
                <c:pt idx="14">
                  <c:v>23.102676657791122</c:v>
                </c:pt>
                <c:pt idx="15">
                  <c:v>23.102676657791122</c:v>
                </c:pt>
              </c:numCache>
            </c:numRef>
          </c:val>
          <c:smooth val="0"/>
          <c:extLst xmlns:c16r2="http://schemas.microsoft.com/office/drawing/2015/06/chart">
            <c:ext xmlns:c16="http://schemas.microsoft.com/office/drawing/2014/chart" uri="{C3380CC4-5D6E-409C-BE32-E72D297353CC}">
              <c16:uniqueId val="{00000006-778F-4EDE-9818-EA6C405B3F57}"/>
            </c:ext>
          </c:extLst>
        </c:ser>
        <c:dLbls>
          <c:showLegendKey val="0"/>
          <c:showVal val="0"/>
          <c:showCatName val="0"/>
          <c:showSerName val="0"/>
          <c:showPercent val="0"/>
          <c:showBubbleSize val="0"/>
        </c:dLbls>
        <c:marker val="1"/>
        <c:smooth val="0"/>
        <c:axId val="99302016"/>
        <c:axId val="99320192"/>
      </c:lineChart>
      <c:catAx>
        <c:axId val="99302016"/>
        <c:scaling>
          <c:orientation val="minMax"/>
        </c:scaling>
        <c:delete val="0"/>
        <c:axPos val="b"/>
        <c:numFmt formatCode="General" sourceLinked="1"/>
        <c:majorTickMark val="none"/>
        <c:minorTickMark val="none"/>
        <c:tickLblPos val="low"/>
        <c:spPr>
          <a:noFill/>
          <a:ln w="9525" cap="flat" cmpd="thinThick" algn="ctr">
            <a:solidFill>
              <a:srgbClr val="A6A6A6"/>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Verdana"/>
                <a:ea typeface="Verdana"/>
                <a:cs typeface="Verdana"/>
              </a:defRPr>
            </a:pPr>
            <a:endParaRPr lang="lt-LT"/>
          </a:p>
        </c:txPr>
        <c:crossAx val="99320192"/>
        <c:crosses val="autoZero"/>
        <c:auto val="1"/>
        <c:lblAlgn val="ctr"/>
        <c:lblOffset val="100"/>
        <c:noMultiLvlLbl val="0"/>
      </c:catAx>
      <c:valAx>
        <c:axId val="99320192"/>
        <c:scaling>
          <c:orientation val="minMax"/>
          <c:max val="50"/>
        </c:scaling>
        <c:delete val="0"/>
        <c:axPos val="l"/>
        <c:majorGridlines>
          <c:spPr>
            <a:ln w="6350" cap="flat" cmpd="sng" algn="ctr">
              <a:solidFill>
                <a:srgbClr val="D9D9D9">
                  <a:alpha val="25000"/>
                </a:srgbClr>
              </a:solidFill>
              <a:prstDash val="solid"/>
              <a:round/>
              <a:headEnd type="none" w="med" len="med"/>
              <a:tailEnd type="none" w="med" len="med"/>
            </a:ln>
            <a:effectLst/>
          </c:spPr>
        </c:majorGridlines>
        <c:numFmt formatCode="General" sourceLinked="1"/>
        <c:majorTickMark val="none"/>
        <c:minorTickMark val="none"/>
        <c:tickLblPos val="nextTo"/>
        <c:spPr>
          <a:noFill/>
          <a:ln w="9525" cmpd="thinThick">
            <a:solidFill>
              <a:srgbClr val="A6A6A6"/>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Verdana"/>
                <a:ea typeface="Verdana"/>
                <a:cs typeface="Verdana"/>
              </a:defRPr>
            </a:pPr>
            <a:endParaRPr lang="lt-LT"/>
          </a:p>
        </c:txPr>
        <c:crossAx val="99302016"/>
        <c:crosses val="autoZero"/>
        <c:crossBetween val="between"/>
      </c:valAx>
      <c:spPr>
        <a:noFill/>
        <a:ln>
          <a:noFill/>
        </a:ln>
        <a:effectLst/>
        <a:extLst>
          <a:ext uri="{91240B29-F687-4F45-9708-019B960494DF}">
            <a14:hiddenLine xmlns:a14="http://schemas.microsoft.com/office/drawing/2010/main">
              <a:noFill/>
            </a14:hiddenLine>
          </a:ext>
        </a:extLst>
      </c:spPr>
    </c:plotArea>
    <c:legend>
      <c:legendPos val="b"/>
      <c:layout>
        <c:manualLayout>
          <c:xMode val="edge"/>
          <c:yMode val="edge"/>
          <c:x val="5.1948522035369593E-2"/>
          <c:y val="6.5120406764151886E-2"/>
          <c:w val="0.68232985697380644"/>
          <c:h val="0.3410593780066339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lt-LT"/>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0.01406</cdr:x>
      <cdr:y>0.94728</cdr:y>
    </cdr:from>
    <cdr:to>
      <cdr:x>0.71706</cdr:x>
      <cdr:y>1</cdr:y>
    </cdr:to>
    <cdr:sp macro="" textlink="">
      <cdr:nvSpPr>
        <cdr:cNvPr id="2" name="TextBox 1"/>
        <cdr:cNvSpPr txBox="1"/>
      </cdr:nvSpPr>
      <cdr:spPr>
        <a:xfrm xmlns:a="http://schemas.openxmlformats.org/drawingml/2006/main">
          <a:off x="50800" y="3987800"/>
          <a:ext cx="2540000" cy="190500"/>
        </a:xfrm>
        <a:prstGeom xmlns:a="http://schemas.openxmlformats.org/drawingml/2006/main" prst="rect">
          <a:avLst/>
        </a:prstGeom>
      </cdr:spPr>
      <cdr:txBody>
        <a:bodyPr xmlns:a="http://schemas.openxmlformats.org/drawingml/2006/main" vertOverflow="clip" vert="horz" lIns="0" tIns="0" rIns="0" bIns="0" rtlCol="0"/>
        <a:lstStyle xmlns:a="http://schemas.openxmlformats.org/drawingml/2006/main"/>
        <a:p xmlns:a="http://schemas.openxmlformats.org/drawingml/2006/main">
          <a:r>
            <a:rPr lang="lt-LT" sz="700" b="0" i="0">
              <a:latin typeface="Verdana" panose="020B0604030504040204" pitchFamily="34" charset="0"/>
              <a:ea typeface="Verdana" panose="020B0604030504040204" pitchFamily="34" charset="0"/>
            </a:rPr>
            <a:t>Šaltiniai: Eurostatas ir Lietuvos banko skaičiavimai. </a:t>
          </a:r>
        </a:p>
      </cdr:txBody>
    </cdr:sp>
  </cdr:relSizeAnchor>
  <cdr:relSizeAnchor xmlns:cdr="http://schemas.openxmlformats.org/drawingml/2006/chartDrawing">
    <cdr:from>
      <cdr:x>0.01406</cdr:x>
      <cdr:y>0.01406</cdr:y>
    </cdr:from>
    <cdr:to>
      <cdr:x>0.36556</cdr:x>
      <cdr:y>0.06678</cdr:y>
    </cdr:to>
    <cdr:sp macro="" textlink="">
      <cdr:nvSpPr>
        <cdr:cNvPr id="3" name="TextBox 2"/>
        <cdr:cNvSpPr txBox="1"/>
      </cdr:nvSpPr>
      <cdr:spPr>
        <a:xfrm xmlns:a="http://schemas.openxmlformats.org/drawingml/2006/main">
          <a:off x="50800" y="50800"/>
          <a:ext cx="1270000" cy="190500"/>
        </a:xfrm>
        <a:prstGeom xmlns:a="http://schemas.openxmlformats.org/drawingml/2006/main" prst="rect">
          <a:avLst/>
        </a:prstGeom>
      </cdr:spPr>
      <cdr:txBody>
        <a:bodyPr xmlns:a="http://schemas.openxmlformats.org/drawingml/2006/main" vertOverflow="clip" vert="horz" lIns="0" tIns="0" rIns="0" bIns="0" rtlCol="0"/>
        <a:lstStyle xmlns:a="http://schemas.openxmlformats.org/drawingml/2006/main"/>
        <a:p xmlns:a="http://schemas.openxmlformats.org/drawingml/2006/main">
          <a:r>
            <a:rPr lang="lt-LT" sz="700" b="0" i="0">
              <a:latin typeface="Verdana" panose="020B0604030504040204" pitchFamily="34" charset="0"/>
              <a:ea typeface="Verdana" panose="020B0604030504040204" pitchFamily="34" charset="0"/>
            </a:rPr>
            <a:t>Proc</a:t>
          </a:r>
          <a:r>
            <a:rPr lang="en-US" sz="700" b="0" i="0">
              <a:latin typeface="Verdana" panose="020B0604030504040204" pitchFamily="34" charset="0"/>
              <a:ea typeface="Verdana" panose="020B0604030504040204" pitchFamily="34" charset="0"/>
            </a:rPr>
            <a:t>.</a:t>
          </a:r>
          <a:endParaRPr lang="lt-LT" sz="700" b="0" i="0">
            <a:latin typeface="Verdana" panose="020B0604030504040204" pitchFamily="34" charset="0"/>
            <a:ea typeface="Verdana" panose="020B0604030504040204" pitchFamily="34" charset="0"/>
          </a:endParaRPr>
        </a:p>
      </cdr:txBody>
    </cdr:sp>
  </cdr:relSizeAnchor>
  <cdr:relSizeAnchor xmlns:cdr="http://schemas.openxmlformats.org/drawingml/2006/chartDrawing">
    <cdr:from>
      <cdr:x>0.78084</cdr:x>
      <cdr:y>0.4138</cdr:y>
    </cdr:from>
    <cdr:to>
      <cdr:x>0.80881</cdr:x>
      <cdr:y>0.66367</cdr:y>
    </cdr:to>
    <cdr:sp macro="" textlink="">
      <cdr:nvSpPr>
        <cdr:cNvPr id="4" name="Rectangle 3"/>
        <cdr:cNvSpPr/>
      </cdr:nvSpPr>
      <cdr:spPr>
        <a:xfrm xmlns:a="http://schemas.openxmlformats.org/drawingml/2006/main">
          <a:off x="4602341" y="1093088"/>
          <a:ext cx="164857" cy="660057"/>
        </a:xfrm>
        <a:prstGeom xmlns:a="http://schemas.openxmlformats.org/drawingml/2006/main" prst="rect">
          <a:avLst/>
        </a:prstGeom>
        <a:noFill xmlns:a="http://schemas.openxmlformats.org/drawingml/2006/main"/>
        <a:ln xmlns:a="http://schemas.openxmlformats.org/drawingml/2006/main">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endParaRPr lang="lt-LT" sz="700" b="0" i="0">
            <a:latin typeface="Verdana" panose="020B0604030504040204" pitchFamily="34" charset="0"/>
            <a:ea typeface="Verdana" panose="020B0604030504040204" pitchFamily="34" charset="0"/>
          </a:endParaRPr>
        </a:p>
      </cdr:txBody>
    </cdr:sp>
  </cdr:relSizeAnchor>
  <cdr:relSizeAnchor xmlns:cdr="http://schemas.openxmlformats.org/drawingml/2006/chartDrawing">
    <cdr:from>
      <cdr:x>0.55915</cdr:x>
      <cdr:y>0.35354</cdr:y>
    </cdr:from>
    <cdr:to>
      <cdr:x>0.58717</cdr:x>
      <cdr:y>0.6658</cdr:y>
    </cdr:to>
    <cdr:sp macro="" textlink="">
      <cdr:nvSpPr>
        <cdr:cNvPr id="5" name="Rectangle 4">
          <a:extLst xmlns:a="http://schemas.openxmlformats.org/drawingml/2006/main">
            <a:ext uri="{FF2B5EF4-FFF2-40B4-BE49-F238E27FC236}">
              <a16:creationId xmlns="" xmlns:a16="http://schemas.microsoft.com/office/drawing/2014/main" id="{E46B3503-4A07-46FE-8ACF-2FAF7F69AFF9}"/>
            </a:ext>
          </a:extLst>
        </cdr:cNvPr>
        <cdr:cNvSpPr/>
      </cdr:nvSpPr>
      <cdr:spPr>
        <a:xfrm xmlns:a="http://schemas.openxmlformats.org/drawingml/2006/main">
          <a:off x="3295650" y="933911"/>
          <a:ext cx="165187" cy="824866"/>
        </a:xfrm>
        <a:prstGeom xmlns:a="http://schemas.openxmlformats.org/drawingml/2006/main" prst="rect">
          <a:avLst/>
        </a:prstGeom>
        <a:noFill xmlns:a="http://schemas.openxmlformats.org/drawingml/2006/main"/>
        <a:ln xmlns:a="http://schemas.openxmlformats.org/drawingml/2006/main">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lt-LT" sz="700" b="0" i="0">
            <a:latin typeface="Verdana" panose="020B0604030504040204" pitchFamily="34" charset="0"/>
            <a:ea typeface="Verdana" panose="020B060403050404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0.0113</cdr:x>
      <cdr:y>0.82332</cdr:y>
    </cdr:from>
    <cdr:to>
      <cdr:x>0.97382</cdr:x>
      <cdr:y>1</cdr:y>
    </cdr:to>
    <cdr:sp macro="" textlink="">
      <cdr:nvSpPr>
        <cdr:cNvPr id="2" name="TextBox 1">
          <a:extLst xmlns:a="http://schemas.openxmlformats.org/drawingml/2006/main">
            <a:ext uri="{FF2B5EF4-FFF2-40B4-BE49-F238E27FC236}">
              <a16:creationId xmlns="" xmlns:a16="http://schemas.microsoft.com/office/drawing/2014/main" id="{38D23B6A-A56F-42B4-80D0-258F6F3029F0}"/>
            </a:ext>
          </a:extLst>
        </cdr:cNvPr>
        <cdr:cNvSpPr txBox="1"/>
      </cdr:nvSpPr>
      <cdr:spPr>
        <a:xfrm xmlns:a="http://schemas.openxmlformats.org/drawingml/2006/main">
          <a:off x="69850" y="2044700"/>
          <a:ext cx="5949447" cy="438785"/>
        </a:xfrm>
        <a:prstGeom xmlns:a="http://schemas.openxmlformats.org/drawingml/2006/main" prst="rect">
          <a:avLst/>
        </a:prstGeom>
      </cdr:spPr>
      <cdr:txBody>
        <a:bodyPr xmlns:a="http://schemas.openxmlformats.org/drawingml/2006/main" vertOverflow="clip" vert="horz" lIns="0" tIns="0" rIns="0" bIns="0" rtlCol="0"/>
        <a:lstStyle xmlns:a="http://schemas.openxmlformats.org/drawingml/2006/main"/>
        <a:p xmlns:a="http://schemas.openxmlformats.org/drawingml/2006/main">
          <a:r>
            <a:rPr lang="lt-LT" sz="700" b="0" i="0">
              <a:latin typeface="Verdana" panose="020B0604030504040204" pitchFamily="34" charset="0"/>
            </a:rPr>
            <a:t>Šaltini</a:t>
          </a:r>
          <a:r>
            <a:rPr lang="en-US" sz="700" b="0" i="0">
              <a:latin typeface="Verdana" panose="020B0604030504040204" pitchFamily="34" charset="0"/>
            </a:rPr>
            <a:t>s</a:t>
          </a:r>
          <a:r>
            <a:rPr lang="lt-LT" sz="700" b="0" i="0">
              <a:latin typeface="Verdana" panose="020B0604030504040204" pitchFamily="34" charset="0"/>
            </a:rPr>
            <a:t>: </a:t>
          </a:r>
          <a:r>
            <a:rPr lang="en-US" sz="700" b="0" i="0">
              <a:latin typeface="Verdana" panose="020B0604030504040204" pitchFamily="34" charset="0"/>
            </a:rPr>
            <a:t>Europos</a:t>
          </a:r>
          <a:r>
            <a:rPr lang="en-US" sz="700" b="0" i="0" baseline="0">
              <a:latin typeface="Verdana" panose="020B0604030504040204" pitchFamily="34" charset="0"/>
            </a:rPr>
            <a:t> Komisija</a:t>
          </a:r>
          <a:r>
            <a:rPr lang="lt-LT" sz="700" b="0" i="0">
              <a:latin typeface="Verdana" panose="020B0604030504040204" pitchFamily="34" charset="0"/>
            </a:rPr>
            <a:t>.</a:t>
          </a:r>
          <a:endParaRPr lang="en-US" sz="700" b="0" i="0">
            <a:latin typeface="Verdana" panose="020B0604030504040204" pitchFamily="34" charset="0"/>
          </a:endParaRPr>
        </a:p>
        <a:p xmlns:a="http://schemas.openxmlformats.org/drawingml/2006/main">
          <a:r>
            <a:rPr lang="en-US" sz="700" b="0" i="0" baseline="0">
              <a:latin typeface="Verdana" panose="020B0604030504040204" pitchFamily="34" charset="0"/>
            </a:rPr>
            <a:t>* Akci</a:t>
          </a:r>
          <a:r>
            <a:rPr lang="lt-LT" sz="700" b="0" i="0" baseline="0">
              <a:latin typeface="Verdana" panose="020B0604030504040204" pitchFamily="34" charset="0"/>
            </a:rPr>
            <a:t>zų tarifo atotrūkis </a:t>
          </a:r>
          <a:r>
            <a:rPr lang="en-US" sz="700" b="0" i="0" baseline="0">
              <a:latin typeface="Verdana" panose="020B0604030504040204" pitchFamily="34" charset="0"/>
            </a:rPr>
            <a:t>apskai</a:t>
          </a:r>
          <a:r>
            <a:rPr lang="lt-LT" sz="700" b="0" i="0" baseline="0">
              <a:latin typeface="Verdana" panose="020B0604030504040204" pitchFamily="34" charset="0"/>
            </a:rPr>
            <a:t>čiuojamas remiantis šiuo metu galiojančiais vidutiniais akcizų tarifais ES, o Lietuvos atveju atsižvegiama į numatomus mokestinius pakeitimus.</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700" b="0" i="0">
              <a:latin typeface="Verdana" panose="020B0604030504040204" pitchFamily="34" charset="0"/>
            </a:rPr>
            <a:t>** </a:t>
          </a:r>
          <a:r>
            <a:rPr lang="lt-LT" sz="700" b="0" i="0">
              <a:latin typeface="Verdana" panose="020B0604030504040204" pitchFamily="34" charset="0"/>
            </a:rPr>
            <a:t>Į a</a:t>
          </a:r>
          <a:r>
            <a:rPr lang="en-US" sz="700" b="0" i="0">
              <a:latin typeface="Verdana" panose="020B0604030504040204" pitchFamily="34" charset="0"/>
            </a:rPr>
            <a:t>kcizo tarif</a:t>
          </a:r>
          <a:r>
            <a:rPr lang="lt-LT" sz="700" b="0" i="0">
              <a:latin typeface="Verdana" panose="020B0604030504040204" pitchFamily="34" charset="0"/>
            </a:rPr>
            <a:t>ą</a:t>
          </a:r>
          <a:r>
            <a:rPr lang="en-US" sz="700" b="0" i="0">
              <a:latin typeface="Verdana" panose="020B0604030504040204" pitchFamily="34" charset="0"/>
            </a:rPr>
            <a:t> </a:t>
          </a:r>
          <a:r>
            <a:rPr lang="lt-LT" sz="700" b="0" i="0">
              <a:latin typeface="Verdana" panose="020B0604030504040204" pitchFamily="34" charset="0"/>
            </a:rPr>
            <a:t>įtraukta ir Lietuvoje </a:t>
          </a:r>
          <a:r>
            <a:rPr lang="en-US" sz="700" b="0" i="0">
              <a:latin typeface="Verdana" panose="020B0604030504040204" pitchFamily="34" charset="0"/>
            </a:rPr>
            <a:t>nuo 2025</a:t>
          </a:r>
          <a:r>
            <a:rPr lang="en-US" sz="700" b="0" i="0" baseline="0">
              <a:latin typeface="Verdana" panose="020B0604030504040204" pitchFamily="34" charset="0"/>
            </a:rPr>
            <a:t> m. </a:t>
          </a:r>
          <a:r>
            <a:rPr lang="lt-LT" sz="700" b="0" i="0" baseline="0">
              <a:latin typeface="Verdana" panose="020B0604030504040204" pitchFamily="34" charset="0"/>
            </a:rPr>
            <a:t>numatoma įvesti CO</a:t>
          </a:r>
          <a:r>
            <a:rPr lang="en-US" sz="700" b="0" i="0" baseline="-25000">
              <a:latin typeface="Verdana" panose="020B0604030504040204" pitchFamily="34" charset="0"/>
            </a:rPr>
            <a:t>2</a:t>
          </a:r>
          <a:r>
            <a:rPr lang="en-US" sz="700" b="0" i="0" baseline="0">
              <a:latin typeface="Verdana" panose="020B0604030504040204" pitchFamily="34" charset="0"/>
            </a:rPr>
            <a:t> dedamo</a:t>
          </a:r>
          <a:r>
            <a:rPr lang="lt-LT" sz="700" b="0" i="0" baseline="0">
              <a:latin typeface="Verdana" panose="020B0604030504040204" pitchFamily="34" charset="0"/>
            </a:rPr>
            <a:t>ji.</a:t>
          </a:r>
        </a:p>
        <a:p xmlns:a="http://schemas.openxmlformats.org/drawingml/2006/main">
          <a:endParaRPr lang="lt-LT" sz="700" b="0" i="0">
            <a:latin typeface="Verdana" panose="020B0604030504040204" pitchFamily="34" charset="0"/>
          </a:endParaRPr>
        </a:p>
      </cdr:txBody>
    </cdr:sp>
  </cdr:relSizeAnchor>
  <cdr:relSizeAnchor xmlns:cdr="http://schemas.openxmlformats.org/drawingml/2006/chartDrawing">
    <cdr:from>
      <cdr:x>0.0083</cdr:x>
      <cdr:y>0.00338</cdr:y>
    </cdr:from>
    <cdr:to>
      <cdr:x>0.21586</cdr:x>
      <cdr:y>0.04981</cdr:y>
    </cdr:to>
    <cdr:sp macro="" textlink="">
      <cdr:nvSpPr>
        <cdr:cNvPr id="3" name="TextBox 2">
          <a:extLst xmlns:a="http://schemas.openxmlformats.org/drawingml/2006/main">
            <a:ext uri="{FF2B5EF4-FFF2-40B4-BE49-F238E27FC236}">
              <a16:creationId xmlns="" xmlns:a16="http://schemas.microsoft.com/office/drawing/2014/main" id="{15835EC0-F3E3-4A01-8D15-211C9A020ACB}"/>
            </a:ext>
          </a:extLst>
        </cdr:cNvPr>
        <cdr:cNvSpPr txBox="1"/>
      </cdr:nvSpPr>
      <cdr:spPr>
        <a:xfrm xmlns:a="http://schemas.openxmlformats.org/drawingml/2006/main">
          <a:off x="56553" y="9202"/>
          <a:ext cx="1413831" cy="126539"/>
        </a:xfrm>
        <a:prstGeom xmlns:a="http://schemas.openxmlformats.org/drawingml/2006/main" prst="rect">
          <a:avLst/>
        </a:prstGeom>
      </cdr:spPr>
      <cdr:txBody>
        <a:bodyPr xmlns:a="http://schemas.openxmlformats.org/drawingml/2006/main" vertOverflow="clip" vert="horz" lIns="0" tIns="0" rIns="0" bIns="0" rtlCol="0"/>
        <a:lstStyle xmlns:a="http://schemas.openxmlformats.org/drawingml/2006/main"/>
        <a:p xmlns:a="http://schemas.openxmlformats.org/drawingml/2006/main">
          <a:r>
            <a:rPr lang="en-US" sz="700" b="0" i="0">
              <a:latin typeface="Verdana" panose="020B0604030504040204" pitchFamily="34" charset="0"/>
            </a:rPr>
            <a:t> E</a:t>
          </a:r>
          <a:r>
            <a:rPr lang="lt-LT" sz="700" b="0" i="0">
              <a:latin typeface="Verdana" panose="020B0604030504040204" pitchFamily="34" charset="0"/>
            </a:rPr>
            <a:t>ur</a:t>
          </a:r>
        </a:p>
      </cdr:txBody>
    </cdr:sp>
  </cdr:relSizeAnchor>
</c:userShapes>
</file>

<file path=word/drawings/drawing3.xml><?xml version="1.0" encoding="utf-8"?>
<c:userShapes xmlns:c="http://schemas.openxmlformats.org/drawingml/2006/chart">
  <cdr:relSizeAnchor xmlns:cdr="http://schemas.openxmlformats.org/drawingml/2006/chartDrawing">
    <cdr:from>
      <cdr:x>0.0083</cdr:x>
      <cdr:y>0.9454</cdr:y>
    </cdr:from>
    <cdr:to>
      <cdr:x>0.81591</cdr:x>
      <cdr:y>1</cdr:y>
    </cdr:to>
    <cdr:sp macro="" textlink="">
      <cdr:nvSpPr>
        <cdr:cNvPr id="2" name="TextBox 1">
          <a:extLst xmlns:a="http://schemas.openxmlformats.org/drawingml/2006/main">
            <a:ext uri="{FF2B5EF4-FFF2-40B4-BE49-F238E27FC236}">
              <a16:creationId xmlns="" xmlns:a16="http://schemas.microsoft.com/office/drawing/2014/main" id="{8CF74C4E-8E17-47E5-B43F-5858B1578672}"/>
            </a:ext>
          </a:extLst>
        </cdr:cNvPr>
        <cdr:cNvSpPr txBox="1"/>
      </cdr:nvSpPr>
      <cdr:spPr>
        <a:xfrm xmlns:a="http://schemas.openxmlformats.org/drawingml/2006/main">
          <a:off x="50675" y="3372363"/>
          <a:ext cx="4930899" cy="194749"/>
        </a:xfrm>
        <a:prstGeom xmlns:a="http://schemas.openxmlformats.org/drawingml/2006/main" prst="rect">
          <a:avLst/>
        </a:prstGeom>
      </cdr:spPr>
      <cdr:txBody>
        <a:bodyPr xmlns:a="http://schemas.openxmlformats.org/drawingml/2006/main" vertOverflow="clip" vert="horz" lIns="0" tIns="0" rIns="0" bIns="0" rtlCol="0"/>
        <a:lstStyle xmlns:a="http://schemas.openxmlformats.org/drawingml/2006/main"/>
        <a:p xmlns:a="http://schemas.openxmlformats.org/drawingml/2006/main">
          <a:r>
            <a:rPr lang="lt-LT" sz="700" b="0" i="0">
              <a:latin typeface="Verdana" panose="020B0604030504040204" pitchFamily="34" charset="0"/>
            </a:rPr>
            <a:t>Šaltiniai: Pasaulio</a:t>
          </a:r>
          <a:r>
            <a:rPr lang="lt-LT" sz="700" b="0" i="0" baseline="0">
              <a:latin typeface="Verdana" panose="020B0604030504040204" pitchFamily="34" charset="0"/>
            </a:rPr>
            <a:t> bankas, Eurostatas, Lietuvos statistikos departamentas ir </a:t>
          </a:r>
          <a:r>
            <a:rPr lang="lt-LT" sz="700" b="0" i="0">
              <a:latin typeface="Verdana" panose="020B0604030504040204" pitchFamily="34" charset="0"/>
            </a:rPr>
            <a:t>Lietuvos banko skaičiavimai.</a:t>
          </a:r>
        </a:p>
      </cdr:txBody>
    </cdr:sp>
  </cdr:relSizeAnchor>
  <cdr:relSizeAnchor xmlns:cdr="http://schemas.openxmlformats.org/drawingml/2006/chartDrawing">
    <cdr:from>
      <cdr:x>0.0083</cdr:x>
      <cdr:y>0</cdr:y>
    </cdr:from>
    <cdr:to>
      <cdr:x>0.30577</cdr:x>
      <cdr:y>0.0423</cdr:y>
    </cdr:to>
    <cdr:sp macro="" textlink="">
      <cdr:nvSpPr>
        <cdr:cNvPr id="3" name="TextBox 2">
          <a:extLst xmlns:a="http://schemas.openxmlformats.org/drawingml/2006/main">
            <a:ext uri="{FF2B5EF4-FFF2-40B4-BE49-F238E27FC236}">
              <a16:creationId xmlns="" xmlns:a16="http://schemas.microsoft.com/office/drawing/2014/main" id="{CE805C28-E047-4FA7-BCC6-6477E5FD0607}"/>
            </a:ext>
          </a:extLst>
        </cdr:cNvPr>
        <cdr:cNvSpPr txBox="1"/>
      </cdr:nvSpPr>
      <cdr:spPr>
        <a:xfrm xmlns:a="http://schemas.openxmlformats.org/drawingml/2006/main">
          <a:off x="49811" y="0"/>
          <a:ext cx="1785232" cy="121812"/>
        </a:xfrm>
        <a:prstGeom xmlns:a="http://schemas.openxmlformats.org/drawingml/2006/main" prst="rect">
          <a:avLst/>
        </a:prstGeom>
      </cdr:spPr>
      <cdr:txBody>
        <a:bodyPr xmlns:a="http://schemas.openxmlformats.org/drawingml/2006/main" vertOverflow="clip" vert="horz" lIns="0" tIns="0" rIns="0" bIns="0" rtlCol="0"/>
        <a:lstStyle xmlns:a="http://schemas.openxmlformats.org/drawingml/2006/main"/>
        <a:p xmlns:a="http://schemas.openxmlformats.org/drawingml/2006/main">
          <a:r>
            <a:rPr lang="lt-LT" sz="700" b="0" i="0">
              <a:latin typeface="Verdana" panose="020B0604030504040204" pitchFamily="34" charset="0"/>
            </a:rPr>
            <a:t>Efektyvusis tarifas (Eur/CO</a:t>
          </a:r>
          <a:r>
            <a:rPr lang="lt-LT" sz="700" b="0" i="0" baseline="-25000">
              <a:latin typeface="Verdana" panose="020B0604030504040204" pitchFamily="34" charset="0"/>
            </a:rPr>
            <a:t>2</a:t>
          </a:r>
          <a:r>
            <a:rPr lang="lt-LT" sz="700" b="0" i="0">
              <a:latin typeface="Verdana" panose="020B0604030504040204" pitchFamily="34" charset="0"/>
            </a:rPr>
            <a:t>t), proc.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722507847044E8AB6567832A2FEC5" ma:contentTypeVersion="0" ma:contentTypeDescription="Create a new document." ma:contentTypeScope="" ma:versionID="75a653c346d6ac586b802709a18fa1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19FA-3B00-489D-80C6-EA7CF324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92F9A1-1FD7-45F7-BF47-684A8351A788}">
  <ds:schemaRefs>
    <ds:schemaRef ds:uri="http://schemas.microsoft.com/sharepoint/v3/contenttype/forms"/>
  </ds:schemaRefs>
</ds:datastoreItem>
</file>

<file path=customXml/itemProps3.xml><?xml version="1.0" encoding="utf-8"?>
<ds:datastoreItem xmlns:ds="http://schemas.openxmlformats.org/officeDocument/2006/customXml" ds:itemID="{C0E12F13-216E-429C-88CA-4085F92B3E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0131C85-837B-42E1-AD9B-F40C03D4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5342</Words>
  <Characters>3045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Mociūnaitė</dc:creator>
  <cp:lastModifiedBy>Jolanta Poškevičienė</cp:lastModifiedBy>
  <cp:revision>4</cp:revision>
  <dcterms:created xsi:type="dcterms:W3CDTF">2021-10-29T11:23:00Z</dcterms:created>
  <dcterms:modified xsi:type="dcterms:W3CDTF">2021-10-29T11:29:00Z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0x010100B0A722507847044E8AB6567832A2FEC5</vt:lpwstr>
  </property>
</Properties>
</file>