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538C8" w14:textId="19F292C3" w:rsidR="00B07370" w:rsidRPr="00B84A6D" w:rsidRDefault="00B07370" w:rsidP="00CF45A6">
      <w:pPr>
        <w:widowControl w:val="0"/>
        <w:jc w:val="center"/>
        <w:rPr>
          <w:b/>
        </w:rPr>
      </w:pPr>
      <w:r w:rsidRPr="00B84A6D">
        <w:rPr>
          <w:b/>
        </w:rPr>
        <w:t>INFORMACIJA APIE UŽIMTUMO IR SOCIALINĖS POLITIKOS KLAUSIMUS,</w:t>
      </w:r>
    </w:p>
    <w:p w14:paraId="74F01656" w14:textId="77777777" w:rsidR="005F1BA8" w:rsidRPr="00B84A6D" w:rsidRDefault="00B07370" w:rsidP="00CF45A6">
      <w:pPr>
        <w:widowControl w:val="0"/>
        <w:jc w:val="center"/>
        <w:rPr>
          <w:b/>
        </w:rPr>
      </w:pPr>
      <w:r w:rsidRPr="00B84A6D">
        <w:rPr>
          <w:b/>
        </w:rPr>
        <w:t>KURIE BUS SVARSTOMI EUROPOS SĄJUNGOS TARYBOS (</w:t>
      </w:r>
      <w:r w:rsidRPr="00B84A6D">
        <w:rPr>
          <w:b/>
          <w:u w:val="single"/>
        </w:rPr>
        <w:t>UŽIMTUMO</w:t>
      </w:r>
      <w:r w:rsidRPr="00B84A6D">
        <w:rPr>
          <w:b/>
        </w:rPr>
        <w:t xml:space="preserve">, </w:t>
      </w:r>
      <w:r w:rsidRPr="00B84A6D">
        <w:rPr>
          <w:b/>
          <w:u w:val="single"/>
        </w:rPr>
        <w:t>SOCIALINĖS POLITIKOS</w:t>
      </w:r>
      <w:r w:rsidRPr="00B84A6D">
        <w:rPr>
          <w:b/>
        </w:rPr>
        <w:t>, SVEIKATOS IR VARTOTOJŲ REIKALŲ)</w:t>
      </w:r>
    </w:p>
    <w:p w14:paraId="3995DE99" w14:textId="2B694B17" w:rsidR="00B07370" w:rsidRPr="00B84A6D" w:rsidRDefault="00B07370" w:rsidP="00CF45A6">
      <w:pPr>
        <w:widowControl w:val="0"/>
        <w:jc w:val="center"/>
        <w:rPr>
          <w:b/>
        </w:rPr>
      </w:pPr>
      <w:r w:rsidRPr="00B84A6D">
        <w:rPr>
          <w:b/>
        </w:rPr>
        <w:t xml:space="preserve">POSĖDYJE </w:t>
      </w:r>
      <w:r w:rsidR="00ED6E2F" w:rsidRPr="00B84A6D">
        <w:rPr>
          <w:b/>
        </w:rPr>
        <w:t>2021</w:t>
      </w:r>
      <w:r w:rsidR="009A5844" w:rsidRPr="00B84A6D">
        <w:rPr>
          <w:b/>
        </w:rPr>
        <w:t xml:space="preserve"> M. </w:t>
      </w:r>
      <w:r w:rsidR="00D70AF4" w:rsidRPr="00B84A6D">
        <w:rPr>
          <w:b/>
        </w:rPr>
        <w:t>SPALIO 15</w:t>
      </w:r>
      <w:r w:rsidR="009A5844" w:rsidRPr="00B84A6D">
        <w:rPr>
          <w:b/>
        </w:rPr>
        <w:t xml:space="preserve"> D.</w:t>
      </w:r>
    </w:p>
    <w:p w14:paraId="45896913" w14:textId="77777777" w:rsidR="00B07370" w:rsidRPr="00B84A6D" w:rsidRDefault="00B07370" w:rsidP="00CF45A6">
      <w:pPr>
        <w:widowControl w:val="0"/>
        <w:jc w:val="both"/>
        <w:rPr>
          <w:b/>
        </w:rPr>
      </w:pPr>
    </w:p>
    <w:p w14:paraId="4390E168" w14:textId="3484C83A" w:rsidR="005F1BA8" w:rsidRPr="00B84A6D" w:rsidRDefault="00ED6E2F" w:rsidP="003A0F59">
      <w:pPr>
        <w:ind w:firstLine="731"/>
        <w:jc w:val="both"/>
      </w:pPr>
      <w:r w:rsidRPr="00B84A6D">
        <w:t>2021</w:t>
      </w:r>
      <w:r w:rsidR="009A5844" w:rsidRPr="00B84A6D">
        <w:t xml:space="preserve"> m. </w:t>
      </w:r>
      <w:r w:rsidR="00D70AF4" w:rsidRPr="00B84A6D">
        <w:t>spalio 15</w:t>
      </w:r>
      <w:r w:rsidR="009A5844" w:rsidRPr="00B84A6D">
        <w:t xml:space="preserve"> d. </w:t>
      </w:r>
      <w:r w:rsidR="005F1BA8" w:rsidRPr="00B84A6D">
        <w:t xml:space="preserve">vyksiančios ES Tarybos posėdžio darbotvarkėje numatyti </w:t>
      </w:r>
      <w:r w:rsidR="005F1BA8" w:rsidRPr="00B84A6D">
        <w:rPr>
          <w:u w:val="single"/>
        </w:rPr>
        <w:t>socialinės politikos ir užimtumo srities</w:t>
      </w:r>
      <w:r w:rsidR="005F1BA8" w:rsidRPr="00B84A6D">
        <w:t xml:space="preserve"> klausimai:</w:t>
      </w:r>
    </w:p>
    <w:p w14:paraId="6AD453B0" w14:textId="77777777" w:rsidR="003A0F59" w:rsidRPr="00B84A6D" w:rsidRDefault="003A0F59" w:rsidP="003A0F59">
      <w:pPr>
        <w:ind w:firstLine="731"/>
        <w:jc w:val="both"/>
      </w:pPr>
    </w:p>
    <w:p w14:paraId="0CFEC760" w14:textId="77777777" w:rsidR="0076341F" w:rsidRPr="00B84A6D" w:rsidRDefault="0076341F" w:rsidP="003A0F59">
      <w:pPr>
        <w:ind w:firstLine="731"/>
        <w:jc w:val="center"/>
        <w:rPr>
          <w:b/>
          <w:bCs/>
          <w:u w:val="single"/>
        </w:rPr>
      </w:pPr>
      <w:r w:rsidRPr="00B84A6D">
        <w:rPr>
          <w:b/>
          <w:bCs/>
          <w:u w:val="single"/>
        </w:rPr>
        <w:t>Teisėkūros procedūra priimamų aktų svarstymas</w:t>
      </w:r>
    </w:p>
    <w:p w14:paraId="7FDD6F55" w14:textId="77777777" w:rsidR="00D70AF4" w:rsidRPr="00B84A6D" w:rsidRDefault="0076341F" w:rsidP="00D70AF4">
      <w:pPr>
        <w:pStyle w:val="TableTitle"/>
        <w:spacing w:before="0"/>
        <w:ind w:firstLine="731"/>
        <w:jc w:val="center"/>
        <w:rPr>
          <w:bCs/>
          <w:szCs w:val="24"/>
          <w:u w:val="none"/>
        </w:rPr>
      </w:pPr>
      <w:r w:rsidRPr="00B84A6D">
        <w:rPr>
          <w:bCs/>
          <w:szCs w:val="24"/>
          <w:u w:val="none"/>
        </w:rPr>
        <w:t>(Viešas svarstymas pagal Europos Sąjungos sutarties 16 straipsnio 8 dalį)</w:t>
      </w:r>
      <w:bookmarkStart w:id="0" w:name="_Hlk73951901"/>
    </w:p>
    <w:p w14:paraId="3E80F4D0" w14:textId="4BE80503" w:rsidR="00D70AF4" w:rsidRPr="00B84A6D" w:rsidRDefault="00D70AF4" w:rsidP="00D70AF4">
      <w:pPr>
        <w:ind w:firstLine="731"/>
        <w:jc w:val="both"/>
      </w:pPr>
      <w:r w:rsidRPr="00B84A6D">
        <w:t>Nėra</w:t>
      </w:r>
      <w:r w:rsidR="00397BAF" w:rsidRPr="00B84A6D">
        <w:t>.</w:t>
      </w:r>
    </w:p>
    <w:bookmarkEnd w:id="0"/>
    <w:p w14:paraId="65E427D9" w14:textId="77777777" w:rsidR="00DF3A80" w:rsidRPr="00B84A6D" w:rsidRDefault="00DF3A80" w:rsidP="00C841B6">
      <w:pPr>
        <w:ind w:firstLine="731"/>
        <w:jc w:val="center"/>
        <w:rPr>
          <w:b/>
          <w:bCs/>
        </w:rPr>
      </w:pPr>
    </w:p>
    <w:p w14:paraId="01059147" w14:textId="66BAF0FD" w:rsidR="0076341F" w:rsidRPr="00B84A6D" w:rsidRDefault="0076341F" w:rsidP="00C841B6">
      <w:pPr>
        <w:ind w:firstLine="731"/>
        <w:jc w:val="center"/>
      </w:pPr>
      <w:r w:rsidRPr="00B84A6D">
        <w:rPr>
          <w:b/>
          <w:bCs/>
          <w:u w:val="single"/>
        </w:rPr>
        <w:t>Su teisėkūros procedūra nesusijusi veikla</w:t>
      </w:r>
    </w:p>
    <w:p w14:paraId="5C1ED4B1" w14:textId="77777777" w:rsidR="00397BAF" w:rsidRPr="00B84A6D" w:rsidRDefault="00397BAF" w:rsidP="00397BAF">
      <w:pPr>
        <w:rPr>
          <w:color w:val="FF0000"/>
        </w:rPr>
      </w:pPr>
      <w:bookmarkStart w:id="1" w:name="_Hlk73952190"/>
    </w:p>
    <w:p w14:paraId="03446912" w14:textId="47D703D9" w:rsidR="007C5D55" w:rsidRPr="00B84A6D" w:rsidRDefault="007C5D55" w:rsidP="007C5D55">
      <w:pPr>
        <w:tabs>
          <w:tab w:val="left" w:pos="559"/>
        </w:tabs>
        <w:spacing w:line="276" w:lineRule="auto"/>
        <w:ind w:firstLine="720"/>
        <w:rPr>
          <w:b/>
        </w:rPr>
      </w:pPr>
      <w:r w:rsidRPr="00B84A6D">
        <w:rPr>
          <w:b/>
        </w:rPr>
        <w:t>1. Europos semestras</w:t>
      </w:r>
    </w:p>
    <w:p w14:paraId="727F8611" w14:textId="46A4B028" w:rsidR="007C5D55" w:rsidRDefault="007C5D55" w:rsidP="007C5D55">
      <w:pPr>
        <w:spacing w:line="276" w:lineRule="auto"/>
        <w:ind w:firstLine="720"/>
        <w:jc w:val="both"/>
        <w:rPr>
          <w:color w:val="000000" w:themeColor="text1"/>
        </w:rPr>
      </w:pPr>
      <w:r w:rsidRPr="00B84A6D">
        <w:rPr>
          <w:color w:val="000000" w:themeColor="text1"/>
        </w:rPr>
        <w:t>a) Pagrindiniai iššūkiai užimtumo srityje: pagrindinės Užimtumo komiteto išvados, grindžiamos Metine užimtumo rodiklių ataskaita ir Užimtumo rodiklių apžvalga.</w:t>
      </w:r>
    </w:p>
    <w:p w14:paraId="1830CDFB" w14:textId="77777777" w:rsidR="001706F7" w:rsidRPr="00B84A6D" w:rsidRDefault="001706F7" w:rsidP="001706F7">
      <w:pPr>
        <w:autoSpaceDE w:val="0"/>
        <w:autoSpaceDN w:val="0"/>
        <w:adjustRightInd w:val="0"/>
        <w:spacing w:line="276" w:lineRule="auto"/>
        <w:ind w:firstLine="720"/>
        <w:rPr>
          <w:i/>
        </w:rPr>
      </w:pPr>
      <w:r w:rsidRPr="00B84A6D">
        <w:rPr>
          <w:i/>
        </w:rPr>
        <w:t xml:space="preserve">= Patvirtinimas </w:t>
      </w:r>
    </w:p>
    <w:p w14:paraId="214732AA" w14:textId="1EBB735A" w:rsidR="007C5D55" w:rsidRPr="00B84A6D" w:rsidRDefault="007C5D55" w:rsidP="007C5D55">
      <w:pPr>
        <w:spacing w:line="276" w:lineRule="auto"/>
        <w:ind w:firstLine="720"/>
        <w:jc w:val="both"/>
        <w:rPr>
          <w:color w:val="000000" w:themeColor="text1"/>
        </w:rPr>
      </w:pPr>
      <w:r w:rsidRPr="00B84A6D">
        <w:rPr>
          <w:color w:val="000000" w:themeColor="text1"/>
        </w:rPr>
        <w:t>b) Pagrindiniai socialiniai iššūkiai: pagrindinės SAK išvados, grindžiamos Socialinės apsaugos rodiklių apžvalgos metine peržiūra.</w:t>
      </w:r>
    </w:p>
    <w:p w14:paraId="23E95937" w14:textId="77777777" w:rsidR="007C5D55" w:rsidRPr="00B84A6D" w:rsidRDefault="007C5D55" w:rsidP="007C5D55">
      <w:pPr>
        <w:autoSpaceDE w:val="0"/>
        <w:autoSpaceDN w:val="0"/>
        <w:adjustRightInd w:val="0"/>
        <w:spacing w:line="276" w:lineRule="auto"/>
        <w:ind w:firstLine="720"/>
        <w:rPr>
          <w:i/>
        </w:rPr>
      </w:pPr>
      <w:r w:rsidRPr="00B84A6D">
        <w:rPr>
          <w:i/>
        </w:rPr>
        <w:t xml:space="preserve">= Patvirtinimas </w:t>
      </w:r>
    </w:p>
    <w:p w14:paraId="1844FD2B" w14:textId="164F56F6" w:rsidR="007C5D55" w:rsidRPr="00B84A6D" w:rsidRDefault="007C5D55" w:rsidP="007C5D55">
      <w:pPr>
        <w:spacing w:line="276" w:lineRule="auto"/>
        <w:ind w:firstLine="720"/>
        <w:jc w:val="both"/>
        <w:rPr>
          <w:color w:val="000000" w:themeColor="text1"/>
        </w:rPr>
      </w:pPr>
      <w:r w:rsidRPr="00B84A6D">
        <w:rPr>
          <w:color w:val="000000" w:themeColor="text1"/>
        </w:rPr>
        <w:t>c) Tarybos sprendimas dėl valstybių narių užimtumo politikos gairių.</w:t>
      </w:r>
    </w:p>
    <w:p w14:paraId="6E15608B" w14:textId="09B214DB" w:rsidR="007C5D55" w:rsidRPr="00B84A6D" w:rsidRDefault="007C5D55" w:rsidP="007C5D55">
      <w:pPr>
        <w:autoSpaceDE w:val="0"/>
        <w:autoSpaceDN w:val="0"/>
        <w:adjustRightInd w:val="0"/>
        <w:spacing w:line="276" w:lineRule="auto"/>
        <w:ind w:firstLine="720"/>
        <w:rPr>
          <w:i/>
        </w:rPr>
      </w:pPr>
      <w:r w:rsidRPr="00B84A6D">
        <w:rPr>
          <w:i/>
        </w:rPr>
        <w:t>= Priėmimas</w:t>
      </w:r>
    </w:p>
    <w:p w14:paraId="246B0859" w14:textId="77777777" w:rsidR="00B84A6D" w:rsidRPr="00B84A6D" w:rsidRDefault="00B84A6D" w:rsidP="007C5D55">
      <w:pPr>
        <w:spacing w:line="276" w:lineRule="auto"/>
        <w:ind w:firstLine="720"/>
        <w:jc w:val="both"/>
        <w:rPr>
          <w:b/>
        </w:rPr>
      </w:pPr>
    </w:p>
    <w:p w14:paraId="255ABD77" w14:textId="1664645D" w:rsidR="007C5D55" w:rsidRPr="00B84A6D" w:rsidRDefault="007C5D55" w:rsidP="007C5D55">
      <w:pPr>
        <w:spacing w:line="276" w:lineRule="auto"/>
        <w:ind w:firstLine="720"/>
        <w:jc w:val="both"/>
        <w:rPr>
          <w:b/>
        </w:rPr>
      </w:pPr>
      <w:r w:rsidRPr="00B84A6D">
        <w:rPr>
          <w:b/>
        </w:rPr>
        <w:t>Klausimo esmė</w:t>
      </w:r>
    </w:p>
    <w:p w14:paraId="71F3F3F4" w14:textId="77777777" w:rsidR="00003BFB" w:rsidRPr="00003BFB" w:rsidRDefault="00003BFB" w:rsidP="00003BFB">
      <w:pPr>
        <w:tabs>
          <w:tab w:val="left" w:pos="284"/>
          <w:tab w:val="left" w:pos="567"/>
        </w:tabs>
        <w:autoSpaceDE w:val="0"/>
        <w:autoSpaceDN w:val="0"/>
        <w:spacing w:line="276" w:lineRule="auto"/>
        <w:ind w:firstLine="720"/>
        <w:jc w:val="both"/>
        <w:rPr>
          <w:b/>
          <w:bCs/>
        </w:rPr>
      </w:pPr>
      <w:r w:rsidRPr="00003BFB">
        <w:rPr>
          <w:b/>
          <w:bCs/>
        </w:rPr>
        <w:t>a) </w:t>
      </w:r>
      <w:r w:rsidRPr="00003BFB">
        <w:rPr>
          <w:b/>
          <w:bCs/>
          <w:u w:val="single"/>
        </w:rPr>
        <w:t>Pagrindiniai iššūkiai užimtumo srityje</w:t>
      </w:r>
      <w:r w:rsidRPr="00003BFB">
        <w:rPr>
          <w:b/>
          <w:bCs/>
        </w:rPr>
        <w:t>: pagrindinės Užimtumo komiteto (toliau – EMCO) išvados, grindžiamos 2021 m. metine užimtumo rodiklių ataskaita ir Užimtumo rodiklių stebėsena.</w:t>
      </w:r>
    </w:p>
    <w:p w14:paraId="12964095" w14:textId="2741515D" w:rsidR="00B84A6D" w:rsidRDefault="00003BFB" w:rsidP="00B84A6D">
      <w:pPr>
        <w:tabs>
          <w:tab w:val="left" w:pos="284"/>
          <w:tab w:val="left" w:pos="567"/>
        </w:tabs>
        <w:autoSpaceDE w:val="0"/>
        <w:autoSpaceDN w:val="0"/>
        <w:spacing w:line="276" w:lineRule="auto"/>
        <w:ind w:firstLine="720"/>
        <w:jc w:val="both"/>
      </w:pPr>
      <w:r w:rsidRPr="00003BFB">
        <w:t xml:space="preserve">2021 m. Užimtumo rodiklių stebėsenos išvadose atsispindi didelis COVID-19 pandemijos poveikis darbo rinkai. Viso </w:t>
      </w:r>
      <w:r w:rsidR="00064938" w:rsidRPr="00404287">
        <w:t>2020 m. ES BVP sumažėjo 6 %. Pagal 2021 m. vasaros tarpinę ekonominę prognozę numatoma, kad 2021 m. ES ekonomika turėtų išaugti 4,8 %, o 2022 m. – 4,4 %. Prognozuojama, kad nedarbo lygis, išaugęs nuo 6,7 % 2019 m. iki 7,1 % 2020 m., 2021 m. toliau didės iki 7,6 % (o 2022 m. sumažės iki 7 %)</w:t>
      </w:r>
      <w:r w:rsidRPr="00003BFB">
        <w:t xml:space="preserve">. Numatoma, kad </w:t>
      </w:r>
      <w:r w:rsidR="00064938">
        <w:t>v</w:t>
      </w:r>
      <w:r w:rsidR="00064938" w:rsidRPr="00064938">
        <w:t xml:space="preserve">alstybės narės po krizės atsigaus netolygiai, todėl gali būti pakenkta ankstesnėms pastangoms siekiant </w:t>
      </w:r>
      <w:proofErr w:type="spellStart"/>
      <w:r w:rsidR="00064938" w:rsidRPr="00064938">
        <w:t>aukštynkryptės</w:t>
      </w:r>
      <w:proofErr w:type="spellEnd"/>
      <w:r w:rsidR="00064938" w:rsidRPr="00064938">
        <w:t xml:space="preserve"> konvergencijos. Siekiant tvaraus ir integracinio atsigavimo, bus itin svarbu spręsti kilusius uždavinius</w:t>
      </w:r>
      <w:r w:rsidRPr="00003BFB">
        <w:t xml:space="preserve">. Siekiant tvaraus ir integracinio atsigavimo, bus labai svarbu spręsti iškilusias problemas.  </w:t>
      </w:r>
    </w:p>
    <w:p w14:paraId="189ED3A9" w14:textId="58D7D937" w:rsidR="00003BFB" w:rsidRPr="00003BFB" w:rsidRDefault="00482F59" w:rsidP="00003BFB">
      <w:pPr>
        <w:tabs>
          <w:tab w:val="left" w:pos="284"/>
          <w:tab w:val="left" w:pos="567"/>
        </w:tabs>
        <w:autoSpaceDE w:val="0"/>
        <w:autoSpaceDN w:val="0"/>
        <w:spacing w:line="276" w:lineRule="auto"/>
        <w:ind w:firstLine="720"/>
        <w:jc w:val="both"/>
      </w:pPr>
      <w:r w:rsidRPr="00482F59">
        <w:t>Su darbo rinkos segmentacija susiję iššūkiai tebėra struktūriškai svarbūs</w:t>
      </w:r>
      <w:r w:rsidR="00003BFB" w:rsidRPr="00003BFB">
        <w:t xml:space="preserve">. </w:t>
      </w:r>
      <w:r w:rsidRPr="00482F59">
        <w:t>Pandemija išryškino jau anksčiau egzistavusias silpnąsias vietas: darbo vietos daugiausia naikinamos tuose sektoriuose, kuriuose vyrauja mažiau saugios užimtumo formos (įskaitant savarankišką veiklą), ir neproporcingai nukentėjo jaunimas bei pažeidžiamos grupės</w:t>
      </w:r>
      <w:r w:rsidR="00003BFB" w:rsidRPr="00003BFB">
        <w:t>.</w:t>
      </w:r>
      <w:r>
        <w:t xml:space="preserve"> </w:t>
      </w:r>
      <w:r w:rsidR="00003BFB" w:rsidRPr="00003BFB">
        <w:t xml:space="preserve">Prieš COVID-19 krizę buvo įgyvendinta nemažai reformų, kuriomis siekta spręsti darbo rinkos segmentacijos problemą, tačiau pandemija kai kuriais atvejais gerokai sulėtino jų įgyvendinimo tempą. Daugelyje valstybių narių darbo inspekcijų veikla ir jų gebėjimų stiprinimo priemonės yra pagrindiniai darbo rinkos segmentacijos mažinimo elementai. Šiuo tikslu gali būti veiksmingai derinamos politikos priemonės, kuriomis siūlomos paskatos, pavyzdžiui, įdarbinimo subsidijos, taip pat vykdymo </w:t>
      </w:r>
      <w:r w:rsidR="00003BFB" w:rsidRPr="00003BFB">
        <w:lastRenderedPageBreak/>
        <w:t>užtikrinimo priemonės - baudos. Siekiant spręsti segmentacijos problemą, svarbu peržiūrėti užimtumo apsaugos teisės aktus ir reguliavimo spragas. Kartu dėl naujų darbo formų, ypač darbo platformose, atsiradimo reikės toliau svarstyti atitinkamų darbuotojų darbo sąlygų klausimą.</w:t>
      </w:r>
      <w:r w:rsidR="00003BFB" w:rsidRPr="00B84A6D">
        <w:t xml:space="preserve"> </w:t>
      </w:r>
      <w:r w:rsidR="00003BFB" w:rsidRPr="00003BFB">
        <w:t>Akcentuojama, kad kalbant apie darbo jėgos apmokestinimą, padaryta pažanga mažinant darbo jėgos mokesčių naštą, ypač mažas ir vidutines pajamas gaunantiems asmenims, daugiausia taikant mokesčių lengvatų priemones ir mažinant socialines įmokas. Vis dėlto išlieka kitų su mokesčių sistema susijusių problemų, visų pirma konkrečių spragų ar neveiksmingumo, taip pat paskatų dirbti neskatinančių veiksnių antrajam poroje uždirbančiam asmeniui. Kalbant apie nedeklaruojamą darbą, nustatyta, kad labai svarbios yra daugialypės strategijos, lemiamas darbo inspekcijų vaidmuo ir įvairių institucijų bendradarbiavimas. Investicijos į įgūdžių tobulinimą, suaugusiųjų švietimą ir mokymąsi visą gyvenimą išlieka politikos prioritetais.</w:t>
      </w:r>
    </w:p>
    <w:p w14:paraId="202AB18B" w14:textId="77777777" w:rsidR="00003BFB" w:rsidRPr="00003BFB" w:rsidRDefault="00003BFB" w:rsidP="00003BFB">
      <w:pPr>
        <w:tabs>
          <w:tab w:val="left" w:pos="284"/>
          <w:tab w:val="left" w:pos="567"/>
        </w:tabs>
        <w:autoSpaceDE w:val="0"/>
        <w:autoSpaceDN w:val="0"/>
        <w:spacing w:line="276" w:lineRule="auto"/>
        <w:ind w:firstLine="720"/>
        <w:jc w:val="both"/>
      </w:pPr>
    </w:p>
    <w:p w14:paraId="5C83840B" w14:textId="2EC16427" w:rsidR="00003BFB" w:rsidRPr="00003BFB" w:rsidRDefault="00003BFB" w:rsidP="00003BFB">
      <w:pPr>
        <w:tabs>
          <w:tab w:val="left" w:pos="284"/>
          <w:tab w:val="left" w:pos="567"/>
        </w:tabs>
        <w:autoSpaceDE w:val="0"/>
        <w:autoSpaceDN w:val="0"/>
        <w:spacing w:line="276" w:lineRule="auto"/>
        <w:ind w:firstLine="720"/>
        <w:jc w:val="both"/>
        <w:rPr>
          <w:b/>
          <w:bCs/>
        </w:rPr>
      </w:pPr>
      <w:r w:rsidRPr="00003BFB">
        <w:rPr>
          <w:b/>
          <w:bCs/>
        </w:rPr>
        <w:t xml:space="preserve">b) </w:t>
      </w:r>
      <w:r w:rsidRPr="00003BFB">
        <w:rPr>
          <w:b/>
          <w:bCs/>
          <w:u w:val="single"/>
        </w:rPr>
        <w:t>Socialinės apsaugos komitetas</w:t>
      </w:r>
      <w:r w:rsidR="001706F7">
        <w:rPr>
          <w:b/>
          <w:bCs/>
          <w:u w:val="single"/>
        </w:rPr>
        <w:t xml:space="preserve"> (toliau – SPC)</w:t>
      </w:r>
      <w:r w:rsidRPr="00003BFB">
        <w:rPr>
          <w:b/>
          <w:bCs/>
        </w:rPr>
        <w:t>, remdamasis naujausiais turimais duomenimis, parengė socialinės situacijos ir socialinės politikos plėtros ES kasmetinę apžvalgą ir išskiria bendrus prioritetus.</w:t>
      </w:r>
    </w:p>
    <w:p w14:paraId="3C6D7F26" w14:textId="77777777" w:rsidR="00003BFB" w:rsidRPr="00003BFB" w:rsidRDefault="00003BFB" w:rsidP="00003BFB">
      <w:pPr>
        <w:tabs>
          <w:tab w:val="left" w:pos="284"/>
          <w:tab w:val="left" w:pos="567"/>
        </w:tabs>
        <w:autoSpaceDE w:val="0"/>
        <w:autoSpaceDN w:val="0"/>
        <w:spacing w:line="276" w:lineRule="auto"/>
        <w:ind w:firstLine="720"/>
        <w:jc w:val="both"/>
      </w:pPr>
      <w:r w:rsidRPr="00003BFB">
        <w:t>Plačiai paplitusius teigiamus socialinės padėties pokyčius nutraukė, o vėliau ir sustabdė COVID-19 protrūkio sukelta krizė ir su ja susijusios sulaikymo priemonės, kurių valstybės narės ėmėsi kovodamos su pandemija ir saugodamos savo piliečių gyvybes bei pragyvenimo šaltinius.</w:t>
      </w:r>
    </w:p>
    <w:p w14:paraId="33B988D0" w14:textId="77777777" w:rsidR="00BD3245" w:rsidRDefault="00003BFB" w:rsidP="00003BFB">
      <w:pPr>
        <w:tabs>
          <w:tab w:val="left" w:pos="284"/>
          <w:tab w:val="left" w:pos="567"/>
        </w:tabs>
        <w:autoSpaceDE w:val="0"/>
        <w:autoSpaceDN w:val="0"/>
        <w:spacing w:line="276" w:lineRule="auto"/>
        <w:ind w:firstLine="720"/>
        <w:jc w:val="both"/>
      </w:pPr>
      <w:r w:rsidRPr="00003BFB">
        <w:t>Per tą patį laikotarpį užimtumas, palyginti su ekonominės veiklos nuosmukiu, nuosaikiai mažėjo: palyginti su 2019 m., jis sumažėjo 1,5 % (t. y. maždaug 3 mln. dirbančiųjų mažiau). Šį palyginti nedidelį užimtumo mažėjimą lėmė didelis automatinių stabilizatorių indėlis ir valstybių narių masiškai diegiamos sutrumpinto darbo laiko schemos, kai kurios iš jų - su ES parama pagal Laikinąją paramą nedarbo rizikai mažinti kritiniu atveju (SURE) ir kitas panašias darbo rinkos priemones.</w:t>
      </w:r>
    </w:p>
    <w:p w14:paraId="24D39814" w14:textId="77777777" w:rsidR="007175CC" w:rsidRDefault="00003BFB" w:rsidP="00003BFB">
      <w:pPr>
        <w:tabs>
          <w:tab w:val="left" w:pos="284"/>
          <w:tab w:val="left" w:pos="567"/>
        </w:tabs>
        <w:autoSpaceDE w:val="0"/>
        <w:autoSpaceDN w:val="0"/>
        <w:spacing w:line="276" w:lineRule="auto"/>
        <w:ind w:firstLine="720"/>
        <w:jc w:val="both"/>
      </w:pPr>
      <w:r w:rsidRPr="00003BFB">
        <w:t xml:space="preserve"> Socialinės apsaugos sistemos buvo pagrindinis namų ūkių pajamų stabilizavimo veiksnys, nes socialinės išmokos, įskaitant trumpalaikio darbo programas, atliko svarbų vaidmenį švelninant bendrą namų ūkių pajamų sumažėjimą 2020 m. Galimybė naudotis socialinės apsaugos sistemomis dažnai buvo laikinai palengvinta, siekiant padidinti sistemų veiksmingumą apsaugant darbo ar pajamų netekusius asmenis. </w:t>
      </w:r>
    </w:p>
    <w:p w14:paraId="7A34FD65" w14:textId="3829BD95" w:rsidR="00003BFB" w:rsidRPr="00003BFB" w:rsidRDefault="00003BFB" w:rsidP="00003BFB">
      <w:pPr>
        <w:tabs>
          <w:tab w:val="left" w:pos="284"/>
          <w:tab w:val="left" w:pos="567"/>
        </w:tabs>
        <w:autoSpaceDE w:val="0"/>
        <w:autoSpaceDN w:val="0"/>
        <w:spacing w:line="276" w:lineRule="auto"/>
        <w:ind w:firstLine="720"/>
        <w:jc w:val="both"/>
      </w:pPr>
      <w:r w:rsidRPr="00003BFB">
        <w:t xml:space="preserve">Nepaisant socialinės apsaugos sistemų vaidmens, dabartinė krizė labiau paveikė pažeidžiamus asmenis, įskaitant asmenis, turinčius nesaugų ar nestandartinį darbą, neįgaliuosius ir asmenis, kuriems reikalinga ilgalaikė priežiūra (taip pat jų slaugytojus), jaunesnius darbuotojus, kurie, tikėtina, yra per daug atstovaujami sektoriuose, kuriuos labiau paveikė socialinės atskirties priemonės, pažeidžiamas šeimas ir vaikus, benamius, migrantus ir etnines mažumas. </w:t>
      </w:r>
      <w:r w:rsidR="001706F7">
        <w:t>M</w:t>
      </w:r>
      <w:r w:rsidRPr="00003BFB">
        <w:t>oterys, kurių daugiausia dirba svarbiausiuose sveikatos ir socialinių paslaugų sektoriuose, ypač vienišų tėvų namų ūkiuose, per krizę susidūrė su padidėjusiu darbo krūviu ir priežiūros pareigomis.</w:t>
      </w:r>
      <w:r w:rsidR="007175CC">
        <w:t xml:space="preserve"> </w:t>
      </w:r>
      <w:r w:rsidRPr="00003BFB">
        <w:t xml:space="preserve">Siekdamos atsigauti po krizės ir geriau pasirengti būsimoms ekstremalioms situacijoms, valstybės narės turėtų ir toliau teikti pirmenybę priemonėms, skirtoms kovai su skurdu ir socialine atskirtimi, spręsti didėjančios pajamų nelygybės problemą, taip pat didinti socialinės apsaugos sistemų atsparumą. Reaguojant nacionaliniu lygmeniu, ir toliau turėtų būti skiriamas dėmesys pažeidžiamų asmenų padėčiai ir numatomi paramos jiems mechanizmai. </w:t>
      </w:r>
    </w:p>
    <w:p w14:paraId="5DEA0320" w14:textId="2E39B87D" w:rsidR="00003BFB" w:rsidRPr="00003BFB" w:rsidRDefault="00003BFB" w:rsidP="00003BFB">
      <w:pPr>
        <w:tabs>
          <w:tab w:val="left" w:pos="284"/>
          <w:tab w:val="left" w:pos="567"/>
        </w:tabs>
        <w:autoSpaceDE w:val="0"/>
        <w:autoSpaceDN w:val="0"/>
        <w:spacing w:line="276" w:lineRule="auto"/>
        <w:ind w:firstLine="720"/>
        <w:jc w:val="both"/>
      </w:pPr>
      <w:r w:rsidRPr="00003BFB">
        <w:t xml:space="preserve">Reikėtų dėti daugiau pastangų, kad būtų užtikrinta tvirta minimalių pajamų apsauga, susieta su galimybe naudotis aukštos kokybės socialinėmis paslaugomis ir </w:t>
      </w:r>
      <w:proofErr w:type="spellStart"/>
      <w:r w:rsidRPr="00003BFB">
        <w:t>įtraukiomis</w:t>
      </w:r>
      <w:proofErr w:type="spellEnd"/>
      <w:r w:rsidRPr="00003BFB">
        <w:t xml:space="preserve"> darbo rinkomis, ir </w:t>
      </w:r>
      <w:r w:rsidRPr="00003BFB">
        <w:lastRenderedPageBreak/>
        <w:t>toliau reikės dėti tikslines pastangas, kad būtų teikiama parama vaikams, kuriems gresia skurdas ar socialinė atskirtis.</w:t>
      </w:r>
    </w:p>
    <w:p w14:paraId="1DF437BF" w14:textId="77777777" w:rsidR="00003BFB" w:rsidRPr="00003BFB" w:rsidRDefault="00003BFB" w:rsidP="00003BFB">
      <w:pPr>
        <w:tabs>
          <w:tab w:val="left" w:pos="284"/>
          <w:tab w:val="left" w:pos="567"/>
        </w:tabs>
        <w:autoSpaceDE w:val="0"/>
        <w:autoSpaceDN w:val="0"/>
        <w:spacing w:line="276" w:lineRule="auto"/>
        <w:ind w:firstLine="720"/>
        <w:jc w:val="both"/>
        <w:rPr>
          <w:b/>
          <w:bCs/>
        </w:rPr>
      </w:pPr>
      <w:r w:rsidRPr="00003BFB">
        <w:rPr>
          <w:b/>
          <w:bCs/>
        </w:rPr>
        <w:t>c) Tarybos sprendimas dėl valstybių narių užimtumo politikos gairių.</w:t>
      </w:r>
    </w:p>
    <w:p w14:paraId="3D0B6B76" w14:textId="77777777" w:rsidR="00003BFB" w:rsidRPr="00003BFB" w:rsidRDefault="00003BFB" w:rsidP="00003BFB">
      <w:pPr>
        <w:tabs>
          <w:tab w:val="left" w:pos="284"/>
          <w:tab w:val="left" w:pos="567"/>
        </w:tabs>
        <w:autoSpaceDE w:val="0"/>
        <w:autoSpaceDN w:val="0"/>
        <w:spacing w:line="276" w:lineRule="auto"/>
        <w:ind w:firstLine="720"/>
        <w:jc w:val="both"/>
      </w:pPr>
      <w:r w:rsidRPr="00003BFB">
        <w:t xml:space="preserve">Sutartyje dėl Europos Sąjungos veikimo nustatyta, kad valstybės narės savo ekonominę politiką ir užimtumo skatinimą vertina kaip bendro intereso reikalą ir savo veiksmus koordinuoja Taryboje. 148 straipsnyje taip pat nustatyta, kad Taryba priima užimtumo gaires, o 121 straipsnyje nurodyta, kad jos turi atitikti bendras ekonominės politikos gaires.  </w:t>
      </w:r>
    </w:p>
    <w:p w14:paraId="7A2655DF" w14:textId="77777777" w:rsidR="00003BFB" w:rsidRPr="00003BFB" w:rsidRDefault="00003BFB" w:rsidP="00003BFB">
      <w:pPr>
        <w:tabs>
          <w:tab w:val="left" w:pos="284"/>
          <w:tab w:val="left" w:pos="567"/>
        </w:tabs>
        <w:autoSpaceDE w:val="0"/>
        <w:autoSpaceDN w:val="0"/>
        <w:spacing w:line="276" w:lineRule="auto"/>
        <w:ind w:firstLine="720"/>
        <w:jc w:val="both"/>
      </w:pPr>
      <w:r w:rsidRPr="00003BFB">
        <w:t xml:space="preserve">Bendrų ekonominės politikos gairių galiojimo laikotarpis nenustatomas, o užimtumo gairės turi būti rengiamos kasmet. Šios gairės pirmą kartą bendrai (kaip integruotas dokumentų rinkinys) priimtos 2010 m. pagal strategiją „Europa 2020“. Iki 2014 m. integruotos gairės nesikeitė. 2015 m. priimtos peržiūrėtos integruotos gairės. Siekiant paskatinti nacionalinio lygmens reformas ir nustatyti atnaujinto konvergencijos proceso visoje Europoje kryptį, 2018 m. užimtumo gairės buvo suderintos su 2017 m. lapkričio mėn. Europos Parlamento, Tarybos ir Komisijos paskelbto Europos socialinių teisių ramsčio principais ir nebuvo keičiamos iki 2019 m. Šiomis gairėmis ne tik nustatoma valstybių narių politikos koordinavimo taikymo sritis ir kryptis, bet ir suteikiamas pagrindas konkrečioms šalims skirtoms atitinkamų sričių rekomendacijoms. Užimtumo gairės drauge su bendromis ekonominės politikos gairėmis buvo pristatytos Tarybos sprendime dėl valstybių narių užimtumo politikos gairių (Integruotų gairių II dalis). </w:t>
      </w:r>
    </w:p>
    <w:p w14:paraId="2BB93B35" w14:textId="77777777" w:rsidR="00003BFB" w:rsidRPr="00003BFB" w:rsidRDefault="00003BFB" w:rsidP="00003BFB">
      <w:pPr>
        <w:tabs>
          <w:tab w:val="left" w:pos="284"/>
          <w:tab w:val="left" w:pos="567"/>
        </w:tabs>
        <w:autoSpaceDE w:val="0"/>
        <w:autoSpaceDN w:val="0"/>
        <w:spacing w:line="276" w:lineRule="auto"/>
        <w:ind w:firstLine="720"/>
        <w:jc w:val="both"/>
      </w:pPr>
      <w:r w:rsidRPr="00003BFB">
        <w:t xml:space="preserve">Valstybių narių užimtumo politikos gairės buvo iš dalies pakeistos siekiant į tekstą įtraukti keturis Metinės tvaraus augimo strategijos aspektus, visų pirma aplinkos tvarumo aspektą, atspindintį tvirtesnę socialinę Europą teisingai pertvarkai užtikrinti ir apimantį JT darnaus vystymosi tikslus (DVT).  </w:t>
      </w:r>
    </w:p>
    <w:p w14:paraId="65D75E9C" w14:textId="29AE6868" w:rsidR="007C5D55" w:rsidRPr="00B84A6D" w:rsidRDefault="007C5D55" w:rsidP="007C5D55">
      <w:pPr>
        <w:spacing w:line="276" w:lineRule="auto"/>
        <w:ind w:firstLine="720"/>
        <w:jc w:val="both"/>
        <w:rPr>
          <w:b/>
        </w:rPr>
      </w:pPr>
      <w:r w:rsidRPr="00B84A6D">
        <w:rPr>
          <w:b/>
        </w:rPr>
        <w:t>Lietuvos pozicija</w:t>
      </w:r>
    </w:p>
    <w:p w14:paraId="12558681" w14:textId="77777777" w:rsidR="007C5D55" w:rsidRPr="00B84A6D" w:rsidRDefault="007C5D55" w:rsidP="007C5D55">
      <w:pPr>
        <w:autoSpaceDE w:val="0"/>
        <w:autoSpaceDN w:val="0"/>
        <w:adjustRightInd w:val="0"/>
        <w:spacing w:line="276" w:lineRule="auto"/>
        <w:ind w:firstLine="720"/>
        <w:jc w:val="both"/>
        <w:rPr>
          <w:rFonts w:eastAsia="Calibri"/>
        </w:rPr>
      </w:pPr>
      <w:r w:rsidRPr="00B84A6D">
        <w:rPr>
          <w:rFonts w:eastAsia="Calibri"/>
        </w:rPr>
        <w:t>a) Pritarti. Į Lietuvos išsakytas pastabas buvo atsižvelgta Užimtumo komiteto posėdžio metu.</w:t>
      </w:r>
    </w:p>
    <w:p w14:paraId="02AF87C3" w14:textId="77777777" w:rsidR="007C5D55" w:rsidRPr="00B84A6D" w:rsidRDefault="007C5D55" w:rsidP="007C5D55">
      <w:pPr>
        <w:autoSpaceDE w:val="0"/>
        <w:autoSpaceDN w:val="0"/>
        <w:adjustRightInd w:val="0"/>
        <w:spacing w:line="276" w:lineRule="auto"/>
        <w:ind w:firstLine="720"/>
        <w:jc w:val="both"/>
        <w:rPr>
          <w:rFonts w:eastAsia="Calibri"/>
        </w:rPr>
      </w:pPr>
      <w:r w:rsidRPr="00B84A6D">
        <w:rPr>
          <w:rFonts w:eastAsia="Calibri"/>
        </w:rPr>
        <w:t>b) Pritarti. Į Lietuvos išsakytas pastabas buvo atsižvelgta Socialinės apsaugos komiteto posėdžio metu.</w:t>
      </w:r>
    </w:p>
    <w:p w14:paraId="7540285B" w14:textId="70122202" w:rsidR="007C5D55" w:rsidRPr="00B84A6D" w:rsidRDefault="007C5D55" w:rsidP="007C5D55">
      <w:pPr>
        <w:autoSpaceDE w:val="0"/>
        <w:autoSpaceDN w:val="0"/>
        <w:adjustRightInd w:val="0"/>
        <w:spacing w:line="276" w:lineRule="auto"/>
        <w:ind w:firstLine="720"/>
        <w:jc w:val="both"/>
        <w:rPr>
          <w:rFonts w:eastAsia="Calibri"/>
        </w:rPr>
      </w:pPr>
      <w:r w:rsidRPr="00B84A6D">
        <w:rPr>
          <w:rFonts w:eastAsia="Calibri"/>
        </w:rPr>
        <w:t xml:space="preserve">c) </w:t>
      </w:r>
      <w:r w:rsidRPr="00B84A6D">
        <w:t xml:space="preserve">Pritariame Tarybos sprendimui dėl valstybių narių užimtumo politikos gairių. </w:t>
      </w:r>
    </w:p>
    <w:p w14:paraId="3959129C" w14:textId="77777777" w:rsidR="007C5D55" w:rsidRPr="00B84A6D" w:rsidRDefault="007C5D55" w:rsidP="007C5D55">
      <w:pPr>
        <w:jc w:val="both"/>
        <w:rPr>
          <w:color w:val="FF0000"/>
        </w:rPr>
      </w:pPr>
      <w:r w:rsidRPr="00B84A6D">
        <w:rPr>
          <w:color w:val="FF0000"/>
        </w:rPr>
        <w:t> </w:t>
      </w:r>
    </w:p>
    <w:p w14:paraId="6F132C61" w14:textId="77777777" w:rsidR="007175CC" w:rsidRDefault="007175CC" w:rsidP="00C841B6">
      <w:pPr>
        <w:pStyle w:val="Sraopastraipa"/>
        <w:ind w:left="0" w:firstLine="731"/>
        <w:contextualSpacing w:val="0"/>
        <w:jc w:val="both"/>
        <w:rPr>
          <w:rFonts w:ascii="Times New Roman" w:hAnsi="Times New Roman"/>
          <w:b/>
          <w:bCs/>
          <w:sz w:val="24"/>
          <w:szCs w:val="24"/>
          <w:u w:val="single"/>
        </w:rPr>
      </w:pPr>
      <w:r w:rsidRPr="007175CC">
        <w:rPr>
          <w:rFonts w:ascii="Times New Roman" w:hAnsi="Times New Roman"/>
          <w:b/>
          <w:bCs/>
          <w:sz w:val="24"/>
          <w:szCs w:val="24"/>
          <w:u w:val="single"/>
        </w:rPr>
        <w:t>Europos semestro ateitis su stipriu Europos socialinių teisių ramsčio vaidmeniu</w:t>
      </w:r>
    </w:p>
    <w:p w14:paraId="48990148" w14:textId="608BD264" w:rsidR="0076341F" w:rsidRPr="00B84A6D" w:rsidRDefault="000038BE" w:rsidP="00C841B6">
      <w:pPr>
        <w:pStyle w:val="Sraopastraipa"/>
        <w:ind w:left="0" w:firstLine="731"/>
        <w:contextualSpacing w:val="0"/>
        <w:jc w:val="both"/>
        <w:rPr>
          <w:rFonts w:ascii="Times New Roman" w:hAnsi="Times New Roman"/>
          <w:sz w:val="24"/>
          <w:szCs w:val="24"/>
        </w:rPr>
      </w:pPr>
      <w:r w:rsidRPr="00B84A6D">
        <w:rPr>
          <w:rFonts w:ascii="Times New Roman" w:hAnsi="Times New Roman"/>
          <w:i/>
          <w:sz w:val="24"/>
          <w:szCs w:val="24"/>
        </w:rPr>
        <w:t xml:space="preserve">= </w:t>
      </w:r>
      <w:r w:rsidR="0076341F" w:rsidRPr="00B84A6D">
        <w:rPr>
          <w:rFonts w:ascii="Times New Roman" w:hAnsi="Times New Roman"/>
          <w:i/>
          <w:sz w:val="24"/>
          <w:szCs w:val="24"/>
        </w:rPr>
        <w:t>Politiniai debatai</w:t>
      </w:r>
      <w:r w:rsidR="0076341F" w:rsidRPr="00B84A6D">
        <w:rPr>
          <w:rFonts w:ascii="Times New Roman" w:hAnsi="Times New Roman"/>
          <w:sz w:val="24"/>
          <w:szCs w:val="24"/>
        </w:rPr>
        <w:t xml:space="preserve"> </w:t>
      </w:r>
    </w:p>
    <w:p w14:paraId="4023261B" w14:textId="77777777" w:rsidR="0076341F" w:rsidRPr="00B84A6D" w:rsidRDefault="0076341F" w:rsidP="00C841B6">
      <w:pPr>
        <w:widowControl w:val="0"/>
        <w:ind w:firstLine="731"/>
        <w:jc w:val="both"/>
        <w:rPr>
          <w:b/>
        </w:rPr>
      </w:pPr>
      <w:r w:rsidRPr="00B84A6D">
        <w:rPr>
          <w:b/>
        </w:rPr>
        <w:t>Klausimo esmė</w:t>
      </w:r>
    </w:p>
    <w:p w14:paraId="1F79A27E" w14:textId="57A197F8" w:rsidR="0076341F" w:rsidRPr="00B84A6D" w:rsidRDefault="0076341F" w:rsidP="00C841B6">
      <w:pPr>
        <w:pStyle w:val="Sraopastraipa"/>
        <w:tabs>
          <w:tab w:val="left" w:pos="300"/>
          <w:tab w:val="left" w:pos="993"/>
        </w:tabs>
        <w:ind w:left="0"/>
        <w:contextualSpacing w:val="0"/>
        <w:jc w:val="both"/>
        <w:rPr>
          <w:rFonts w:ascii="Times New Roman" w:hAnsi="Times New Roman"/>
          <w:sz w:val="24"/>
          <w:szCs w:val="24"/>
          <w:u w:val="single"/>
        </w:rPr>
      </w:pPr>
      <w:r w:rsidRPr="00B84A6D">
        <w:rPr>
          <w:rFonts w:ascii="Times New Roman" w:hAnsi="Times New Roman"/>
          <w:sz w:val="24"/>
          <w:szCs w:val="24"/>
          <w:u w:val="single"/>
        </w:rPr>
        <w:t xml:space="preserve">Tarybos posėdyje 2021 m. </w:t>
      </w:r>
      <w:r w:rsidR="007C5D55" w:rsidRPr="00B84A6D">
        <w:rPr>
          <w:rFonts w:ascii="Times New Roman" w:hAnsi="Times New Roman"/>
          <w:sz w:val="24"/>
          <w:szCs w:val="24"/>
          <w:u w:val="single"/>
        </w:rPr>
        <w:t>spalio 15</w:t>
      </w:r>
      <w:r w:rsidRPr="00B84A6D">
        <w:rPr>
          <w:rFonts w:ascii="Times New Roman" w:hAnsi="Times New Roman"/>
          <w:sz w:val="24"/>
          <w:szCs w:val="24"/>
          <w:u w:val="single"/>
        </w:rPr>
        <w:t xml:space="preserve"> d. ministrai kviečiami diskutuoti šiais klausimais:</w:t>
      </w:r>
    </w:p>
    <w:p w14:paraId="0F10214C" w14:textId="77777777" w:rsidR="007175CC" w:rsidRPr="007175CC" w:rsidRDefault="007175CC" w:rsidP="007175CC">
      <w:pPr>
        <w:ind w:firstLine="731"/>
        <w:jc w:val="both"/>
        <w:rPr>
          <w:bCs/>
          <w:i/>
          <w:iCs/>
        </w:rPr>
      </w:pPr>
      <w:r w:rsidRPr="007175CC">
        <w:rPr>
          <w:bCs/>
          <w:i/>
          <w:iCs/>
        </w:rPr>
        <w:t>1. Kaip būsimame Europos semestre būtų galima geriausiai atspindėti Europos socialinių teisių ramsčio veiksmų planą ir visų pirma tris ES pagrindinius tikslus?</w:t>
      </w:r>
    </w:p>
    <w:p w14:paraId="78DA1CC6" w14:textId="77777777" w:rsidR="007175CC" w:rsidRPr="007175CC" w:rsidRDefault="007175CC" w:rsidP="007175CC">
      <w:pPr>
        <w:ind w:firstLine="731"/>
        <w:jc w:val="both"/>
        <w:rPr>
          <w:bCs/>
          <w:i/>
          <w:iCs/>
        </w:rPr>
      </w:pPr>
      <w:r w:rsidRPr="007175CC">
        <w:rPr>
          <w:bCs/>
          <w:i/>
          <w:iCs/>
        </w:rPr>
        <w:t>2. Kuriuos elementus ir požymius galima laikyti esminiais būsimame Europos semestro procese siekiant užtikrinti tvirtą socialinį aspektą? Ar yra kokių nors elementų, kuriuos jau reikėtų įtraukti į artėjantį 2022 m. semestro ciklą?</w:t>
      </w:r>
    </w:p>
    <w:p w14:paraId="26DCE74B" w14:textId="0705E289" w:rsidR="007175CC" w:rsidRDefault="007175CC" w:rsidP="007175CC">
      <w:pPr>
        <w:ind w:firstLine="731"/>
        <w:jc w:val="both"/>
        <w:rPr>
          <w:bCs/>
          <w:i/>
          <w:iCs/>
        </w:rPr>
      </w:pPr>
      <w:r w:rsidRPr="007175CC">
        <w:rPr>
          <w:bCs/>
          <w:i/>
          <w:iCs/>
        </w:rPr>
        <w:t xml:space="preserve">3. Koks, jūsų manymu, turėtų būti </w:t>
      </w:r>
      <w:r w:rsidR="001706F7" w:rsidRPr="001706F7">
        <w:rPr>
          <w:bCs/>
          <w:i/>
          <w:iCs/>
        </w:rPr>
        <w:t>Užimtumo, socialinės politikos, sveikatos ir vartotojų reikalų</w:t>
      </w:r>
      <w:r w:rsidR="001706F7">
        <w:rPr>
          <w:bCs/>
          <w:i/>
          <w:iCs/>
        </w:rPr>
        <w:t xml:space="preserve"> </w:t>
      </w:r>
      <w:r w:rsidRPr="007175CC">
        <w:rPr>
          <w:bCs/>
          <w:i/>
          <w:iCs/>
        </w:rPr>
        <w:t>tarybos ir jos parengiamųjų organų – EMCO ir SPC – vaidmuo būsimame semestro procese?</w:t>
      </w:r>
    </w:p>
    <w:p w14:paraId="185B7698" w14:textId="1C348B9E" w:rsidR="0076341F" w:rsidRPr="00B84A6D" w:rsidRDefault="0076341F" w:rsidP="007175CC">
      <w:pPr>
        <w:ind w:firstLine="731"/>
        <w:jc w:val="both"/>
        <w:rPr>
          <w:b/>
        </w:rPr>
      </w:pPr>
      <w:r w:rsidRPr="00B84A6D">
        <w:rPr>
          <w:b/>
        </w:rPr>
        <w:t>Lietuvos pozicija</w:t>
      </w:r>
    </w:p>
    <w:p w14:paraId="07E16F40" w14:textId="77777777" w:rsidR="0076341F" w:rsidRPr="00B84A6D" w:rsidRDefault="0076341F" w:rsidP="00C841B6">
      <w:pPr>
        <w:ind w:firstLine="731"/>
        <w:jc w:val="both"/>
        <w:rPr>
          <w:bCs/>
          <w:u w:val="single"/>
        </w:rPr>
      </w:pPr>
      <w:r w:rsidRPr="00B84A6D">
        <w:rPr>
          <w:bCs/>
          <w:u w:val="single"/>
        </w:rPr>
        <w:t>Planuojama pasisakyti pagal preliminarias tezes:</w:t>
      </w:r>
    </w:p>
    <w:bookmarkEnd w:id="1"/>
    <w:p w14:paraId="5E9887A7" w14:textId="77777777" w:rsidR="007175CC" w:rsidRPr="007175CC" w:rsidRDefault="007175CC" w:rsidP="007175CC">
      <w:pPr>
        <w:tabs>
          <w:tab w:val="left" w:pos="300"/>
          <w:tab w:val="left" w:pos="993"/>
        </w:tabs>
        <w:ind w:firstLine="851"/>
        <w:jc w:val="both"/>
      </w:pPr>
      <w:r w:rsidRPr="007175CC">
        <w:t>•</w:t>
      </w:r>
      <w:r w:rsidRPr="007175CC">
        <w:tab/>
        <w:t xml:space="preserve">Lietuva jau pasitvirtino ES tikslus pagal ramsčio veiksmų planą, kuriuos pateikė Europos Komisijai. Tikimės, kad visos valstybės, kaip ir Lietuva, pasitvirtins ambicingus užimtumo ir </w:t>
      </w:r>
      <w:r w:rsidRPr="007175CC">
        <w:lastRenderedPageBreak/>
        <w:t>skurdo mažinimo tikslus, ir tikimės, kad tai prididės prie bendrų ES2030 tikslu pasiekimo bei tinkamo Europos socialinių teisių ramsčio įgyvendinimo.</w:t>
      </w:r>
    </w:p>
    <w:p w14:paraId="1C98FC25" w14:textId="77777777" w:rsidR="007175CC" w:rsidRPr="007175CC" w:rsidRDefault="007175CC" w:rsidP="007175CC">
      <w:pPr>
        <w:tabs>
          <w:tab w:val="left" w:pos="300"/>
          <w:tab w:val="left" w:pos="993"/>
        </w:tabs>
        <w:ind w:firstLine="851"/>
        <w:jc w:val="both"/>
      </w:pPr>
      <w:r w:rsidRPr="007175CC">
        <w:t>•</w:t>
      </w:r>
      <w:r w:rsidRPr="007175CC">
        <w:tab/>
        <w:t xml:space="preserve">Dėl Semestro ateities, pritariame, kad reikia sugrįžti prie įprastinio Semestro proceso, apimančio pilnas rekomendacijas ir Šalių ataskaitas. Nepaisant to, galima tobulinti šį procesą, todėl manome, kad šalims skirtas struktūrines rekomendacijas galima būtų teikti kas du metus nes dažniausiai sunku pamatyti realius reformų rezultatus po vienų metų, tuo pat metu atliekant užimtumo, įgūdžių ir socialinių iššūkių stebėjimą per kasmet atnaujinamą Socialinių rodiklių suvestinę kasmet. </w:t>
      </w:r>
    </w:p>
    <w:p w14:paraId="340DCF30" w14:textId="77777777" w:rsidR="007175CC" w:rsidRPr="007175CC" w:rsidRDefault="007175CC" w:rsidP="007175CC">
      <w:pPr>
        <w:tabs>
          <w:tab w:val="left" w:pos="300"/>
          <w:tab w:val="left" w:pos="993"/>
        </w:tabs>
        <w:ind w:firstLine="851"/>
        <w:jc w:val="both"/>
      </w:pPr>
      <w:r w:rsidRPr="007175CC">
        <w:t>•</w:t>
      </w:r>
      <w:r w:rsidRPr="007175CC">
        <w:tab/>
        <w:t xml:space="preserve">Džiaugiamės, kad Socialinių rodiklių suvestinė buvo papildyta naujais rodikliais. Tai padės  stebėti pažangą įgyvendinant ramsčio principus semestro kontekste. </w:t>
      </w:r>
    </w:p>
    <w:p w14:paraId="3ACC8AFE" w14:textId="7734CEAF" w:rsidR="002A1CFA" w:rsidRPr="00B84A6D" w:rsidRDefault="007175CC" w:rsidP="007175CC">
      <w:pPr>
        <w:pStyle w:val="Sraopastraipa"/>
        <w:tabs>
          <w:tab w:val="left" w:pos="300"/>
          <w:tab w:val="left" w:pos="993"/>
        </w:tabs>
        <w:ind w:left="0" w:firstLine="851"/>
        <w:contextualSpacing w:val="0"/>
        <w:jc w:val="both"/>
        <w:rPr>
          <w:rFonts w:ascii="Times New Roman" w:hAnsi="Times New Roman"/>
          <w:sz w:val="24"/>
          <w:szCs w:val="24"/>
        </w:rPr>
      </w:pPr>
      <w:r w:rsidRPr="007175CC">
        <w:rPr>
          <w:rFonts w:ascii="Times New Roman" w:hAnsi="Times New Roman"/>
          <w:sz w:val="24"/>
          <w:szCs w:val="24"/>
        </w:rPr>
        <w:t>•</w:t>
      </w:r>
      <w:r w:rsidRPr="007175CC">
        <w:rPr>
          <w:rFonts w:ascii="Times New Roman" w:hAnsi="Times New Roman"/>
          <w:sz w:val="24"/>
          <w:szCs w:val="24"/>
        </w:rPr>
        <w:tab/>
        <w:t xml:space="preserve">EPSCO ir patariamųjų komitetų SPC ir </w:t>
      </w:r>
      <w:r w:rsidR="001706F7" w:rsidRPr="001706F7">
        <w:rPr>
          <w:rFonts w:ascii="Times New Roman" w:hAnsi="Times New Roman"/>
          <w:sz w:val="24"/>
          <w:szCs w:val="24"/>
        </w:rPr>
        <w:t>Užimtumo, socialinės politikos, sveikatos ir vartotojų reikalų</w:t>
      </w:r>
      <w:r w:rsidR="001706F7">
        <w:rPr>
          <w:rFonts w:ascii="Times New Roman" w:hAnsi="Times New Roman"/>
          <w:sz w:val="24"/>
          <w:szCs w:val="24"/>
        </w:rPr>
        <w:t xml:space="preserve"> tarybos </w:t>
      </w:r>
      <w:r w:rsidRPr="007175CC">
        <w:rPr>
          <w:rFonts w:ascii="Times New Roman" w:hAnsi="Times New Roman"/>
          <w:sz w:val="24"/>
          <w:szCs w:val="24"/>
        </w:rPr>
        <w:t>vaidmuo šiame procese yra labai svarbus, ypač stebėsenos ir koordinavimo procese. Komitetai turi padėti užtikrinti daugiašalį semestro proceso aspektą.</w:t>
      </w:r>
    </w:p>
    <w:p w14:paraId="17772906" w14:textId="516D792F" w:rsidR="007C5D55" w:rsidRPr="00B84A6D" w:rsidRDefault="007C5D55" w:rsidP="00C841B6">
      <w:pPr>
        <w:pStyle w:val="Sraopastraipa"/>
        <w:ind w:left="0" w:firstLine="731"/>
        <w:contextualSpacing w:val="0"/>
        <w:jc w:val="both"/>
        <w:rPr>
          <w:rFonts w:ascii="Times New Roman" w:hAnsi="Times New Roman"/>
          <w:b/>
          <w:bCs/>
          <w:i/>
          <w:iCs/>
          <w:color w:val="FF0000"/>
          <w:sz w:val="24"/>
          <w:szCs w:val="24"/>
        </w:rPr>
      </w:pPr>
    </w:p>
    <w:p w14:paraId="6B2D25B8" w14:textId="77777777" w:rsidR="007C5D55" w:rsidRPr="00B84A6D" w:rsidRDefault="007C5D55" w:rsidP="007C5D55">
      <w:pPr>
        <w:ind w:firstLine="731"/>
        <w:rPr>
          <w:b/>
          <w:u w:val="single"/>
        </w:rPr>
      </w:pPr>
      <w:r w:rsidRPr="00B84A6D">
        <w:rPr>
          <w:b/>
          <w:u w:val="single"/>
        </w:rPr>
        <w:t>Sauga ir sveikata - būsimo darbo esmė</w:t>
      </w:r>
    </w:p>
    <w:p w14:paraId="4BF91614" w14:textId="09CE52C3" w:rsidR="007C5D55" w:rsidRPr="00B84A6D" w:rsidRDefault="000038BE" w:rsidP="007C5D55">
      <w:pPr>
        <w:ind w:firstLine="731"/>
        <w:rPr>
          <w:i/>
          <w:iCs/>
        </w:rPr>
      </w:pPr>
      <w:r w:rsidRPr="00B84A6D">
        <w:rPr>
          <w:i/>
        </w:rPr>
        <w:t>=</w:t>
      </w:r>
      <w:r w:rsidR="007C5D55" w:rsidRPr="00B84A6D">
        <w:rPr>
          <w:i/>
          <w:iCs/>
        </w:rPr>
        <w:t>Politiniai debatai</w:t>
      </w:r>
    </w:p>
    <w:p w14:paraId="2DD0E3FE" w14:textId="77777777" w:rsidR="007C5D55" w:rsidRPr="00B84A6D" w:rsidRDefault="007C5D55" w:rsidP="007C5D55">
      <w:pPr>
        <w:widowControl w:val="0"/>
        <w:ind w:firstLine="731"/>
        <w:jc w:val="both"/>
        <w:rPr>
          <w:b/>
        </w:rPr>
      </w:pPr>
      <w:r w:rsidRPr="00B84A6D">
        <w:rPr>
          <w:b/>
        </w:rPr>
        <w:t>Klausimo esmė</w:t>
      </w:r>
    </w:p>
    <w:p w14:paraId="41C7623D" w14:textId="05948DA7" w:rsidR="007C5D55" w:rsidRPr="00B84A6D" w:rsidRDefault="007C5D55" w:rsidP="007C5D55">
      <w:pPr>
        <w:ind w:firstLine="731"/>
        <w:jc w:val="both"/>
        <w:rPr>
          <w:u w:val="single"/>
        </w:rPr>
      </w:pPr>
      <w:r w:rsidRPr="00B84A6D">
        <w:rPr>
          <w:u w:val="single"/>
        </w:rPr>
        <w:t>Tarybos posėdyje 2021 m. spalio 15 d. ministrai kviečiami diskutuoti šiais klausimais:</w:t>
      </w:r>
    </w:p>
    <w:p w14:paraId="39787FF5" w14:textId="77777777" w:rsidR="007175CC" w:rsidRPr="007175CC" w:rsidRDefault="007175CC" w:rsidP="007175CC">
      <w:pPr>
        <w:ind w:firstLine="731"/>
        <w:jc w:val="both"/>
        <w:rPr>
          <w:i/>
          <w:iCs/>
        </w:rPr>
      </w:pPr>
      <w:r w:rsidRPr="007175CC">
        <w:rPr>
          <w:i/>
          <w:iCs/>
        </w:rPr>
        <w:t>1. Remdamiesi patirtimi, įgyta įgyvendinant 2014–2020 m. darbuotojų saugos ir sveikatos strateginę programą, kokių pagrindinių iššūkių laukiate įgyvendinant naująją 2021–2027 m. ES darbuotojų sveikatos ir saugos strateginę programą? Kokia veikla ES lygmeniu, jūsų nuomone, yra būtina, kad būtų pasiekti trys pagrindiniai naujosios programos tikslai?</w:t>
      </w:r>
    </w:p>
    <w:p w14:paraId="107A25BB" w14:textId="77777777" w:rsidR="007175CC" w:rsidRPr="007175CC" w:rsidRDefault="007175CC" w:rsidP="007175CC">
      <w:pPr>
        <w:ind w:firstLine="731"/>
        <w:jc w:val="both"/>
        <w:rPr>
          <w:i/>
          <w:iCs/>
        </w:rPr>
      </w:pPr>
      <w:r w:rsidRPr="007175CC">
        <w:rPr>
          <w:i/>
          <w:iCs/>
        </w:rPr>
        <w:t>2. Kokiu mastu jūsų šalies politika sveikatos ir saugos srityse aktyviai prisidedama prie to, kad darbas taptų tvaresnis dirbant visą gyvenimą? Kaip ji integruojama į kitas susijusias politikos sritis, pavyzdžiui, visuomenės sveikatą? Ką dar planuojate daryti šiuo klausimu?</w:t>
      </w:r>
    </w:p>
    <w:p w14:paraId="59B9E0E8" w14:textId="2C0D2CBD" w:rsidR="007C5D55" w:rsidRPr="007175CC" w:rsidRDefault="007C5D55" w:rsidP="007175CC">
      <w:pPr>
        <w:ind w:firstLine="731"/>
        <w:jc w:val="both"/>
        <w:rPr>
          <w:b/>
        </w:rPr>
      </w:pPr>
      <w:r w:rsidRPr="007175CC">
        <w:rPr>
          <w:b/>
        </w:rPr>
        <w:t>Lietuvos pozicija</w:t>
      </w:r>
    </w:p>
    <w:p w14:paraId="4AF61499" w14:textId="77777777" w:rsidR="007C5D55" w:rsidRPr="007175CC" w:rsidRDefault="007C5D55" w:rsidP="007C5D55">
      <w:pPr>
        <w:ind w:firstLine="731"/>
        <w:jc w:val="both"/>
        <w:rPr>
          <w:bCs/>
          <w:u w:val="single"/>
        </w:rPr>
      </w:pPr>
      <w:r w:rsidRPr="007175CC">
        <w:rPr>
          <w:bCs/>
          <w:u w:val="single"/>
        </w:rPr>
        <w:t>Planuojama pasisakyti pagal preliminarias tezes:</w:t>
      </w:r>
    </w:p>
    <w:p w14:paraId="1008468A" w14:textId="1D7864D5" w:rsidR="007175CC" w:rsidRPr="007175CC" w:rsidRDefault="007175CC" w:rsidP="001B08A2">
      <w:pPr>
        <w:pStyle w:val="Sraopastraipa"/>
        <w:numPr>
          <w:ilvl w:val="0"/>
          <w:numId w:val="3"/>
        </w:numPr>
        <w:ind w:firstLine="731"/>
        <w:jc w:val="both"/>
        <w:rPr>
          <w:rFonts w:ascii="Times New Roman" w:hAnsi="Times New Roman"/>
          <w:sz w:val="24"/>
          <w:szCs w:val="24"/>
        </w:rPr>
      </w:pPr>
      <w:r w:rsidRPr="007175CC">
        <w:rPr>
          <w:rFonts w:ascii="Times New Roman" w:hAnsi="Times New Roman"/>
          <w:sz w:val="24"/>
          <w:szCs w:val="24"/>
        </w:rPr>
        <w:t xml:space="preserve">Manome, kad Komunikatas yra labai savalaikis ir svarbus. Lietuva pritaria ir palaiko Europos Komisijos veiksmus, numatytus Komunikate.  Manome, kad prie tinkamo komunikato įgyvendinimo ir valstybių narių veiksmų koordinavimo labai prisideda vieningos ES rekomendacijos, todėl sveikintume jų parengimą srityse užtikrinant darbuotojų saugą ir sveikatą dirbant nuotoliniu būdu, taip pat kaip vertinti psichosocialinius profesinės rizikos veiksnius, ypač atsižvelgiant į vykstančius pokyčius darbo pasaulyje, padidėjus darbuotojų atskirčiai nuo kolektyvo ar dirbant skaitmeninėse platformose. </w:t>
      </w:r>
    </w:p>
    <w:p w14:paraId="2886C9C4" w14:textId="77777777" w:rsidR="007175CC" w:rsidRPr="007175CC" w:rsidRDefault="007175CC" w:rsidP="001B08A2">
      <w:pPr>
        <w:pStyle w:val="Sraopastraipa"/>
        <w:numPr>
          <w:ilvl w:val="0"/>
          <w:numId w:val="3"/>
        </w:numPr>
        <w:ind w:firstLine="731"/>
        <w:jc w:val="both"/>
        <w:rPr>
          <w:rFonts w:ascii="Times New Roman" w:hAnsi="Times New Roman"/>
          <w:sz w:val="24"/>
          <w:szCs w:val="24"/>
        </w:rPr>
      </w:pPr>
      <w:r w:rsidRPr="007175CC">
        <w:rPr>
          <w:rFonts w:ascii="Times New Roman" w:hAnsi="Times New Roman"/>
          <w:sz w:val="24"/>
          <w:szCs w:val="24"/>
        </w:rPr>
        <w:t xml:space="preserve">Nacionaliniu lygiu Komunikatas bus įgyvendinamas per kuriamą nacionalinį veiksmų planą 2022–2027 m. Planas šiuo metu yra rengiamas įtraukiant įvairias susijusias institucijas, kur ypatingai svarbų vaidmenį atlieka socialiniai partneriai. </w:t>
      </w:r>
    </w:p>
    <w:p w14:paraId="55F72F6E" w14:textId="77777777" w:rsidR="007175CC" w:rsidRPr="007175CC" w:rsidRDefault="007175CC" w:rsidP="001B08A2">
      <w:pPr>
        <w:pStyle w:val="Sraopastraipa"/>
        <w:numPr>
          <w:ilvl w:val="0"/>
          <w:numId w:val="3"/>
        </w:numPr>
        <w:ind w:firstLine="731"/>
        <w:jc w:val="both"/>
        <w:rPr>
          <w:rFonts w:ascii="Times New Roman" w:hAnsi="Times New Roman"/>
          <w:sz w:val="24"/>
          <w:szCs w:val="24"/>
        </w:rPr>
      </w:pPr>
      <w:r w:rsidRPr="007175CC">
        <w:rPr>
          <w:rFonts w:ascii="Times New Roman" w:hAnsi="Times New Roman"/>
          <w:sz w:val="24"/>
          <w:szCs w:val="24"/>
        </w:rPr>
        <w:t>Siekdama Komunikate nustatytų tikslų, ypač gerinti nelaimingų atsitikimų ir profesinių ligų prevenciją, palaikydama nulinio mirčių skaičiaus viziją“, Lietuva 2022 m. planuoja atlikti studiją, taip pat numato peržiūrėti ir tobulinti teisės aktus dėl smurto ir priekabiavimo darbe uždraudimo.</w:t>
      </w:r>
    </w:p>
    <w:p w14:paraId="06E376E4" w14:textId="77777777" w:rsidR="007175CC" w:rsidRPr="007175CC" w:rsidRDefault="007175CC" w:rsidP="001B08A2">
      <w:pPr>
        <w:pStyle w:val="Sraopastraipa"/>
        <w:numPr>
          <w:ilvl w:val="0"/>
          <w:numId w:val="3"/>
        </w:numPr>
        <w:ind w:firstLine="731"/>
        <w:jc w:val="both"/>
        <w:rPr>
          <w:rFonts w:ascii="Times New Roman" w:hAnsi="Times New Roman"/>
          <w:sz w:val="24"/>
          <w:szCs w:val="24"/>
        </w:rPr>
      </w:pPr>
      <w:r w:rsidRPr="007175CC">
        <w:rPr>
          <w:rFonts w:ascii="Times New Roman" w:hAnsi="Times New Roman"/>
          <w:sz w:val="24"/>
          <w:szCs w:val="24"/>
        </w:rPr>
        <w:t>Lietuva mano, kad svarbu šviesti visuomenę jau nuo mažų dienų ir integruoti mokymą apie saugą ir sveikatą į švietimo ir mokslo sistemą. Lietuvoje vyresnių klasių moksleiviai jau dalyvauja veiklose, o artimiausiu metu numatoma įtraukti ir pradinių klasių moksleivius.</w:t>
      </w:r>
    </w:p>
    <w:p w14:paraId="46467070" w14:textId="77777777" w:rsidR="007C5D55" w:rsidRPr="007175CC" w:rsidRDefault="007C5D55" w:rsidP="00C841B6">
      <w:pPr>
        <w:pStyle w:val="Sraopastraipa"/>
        <w:ind w:left="0" w:firstLine="731"/>
        <w:contextualSpacing w:val="0"/>
        <w:jc w:val="both"/>
        <w:rPr>
          <w:rFonts w:ascii="Times New Roman" w:hAnsi="Times New Roman"/>
          <w:sz w:val="24"/>
          <w:szCs w:val="24"/>
          <w:u w:val="single"/>
        </w:rPr>
      </w:pPr>
    </w:p>
    <w:p w14:paraId="1BEE501D" w14:textId="47B8C997" w:rsidR="000038BE" w:rsidRPr="007175CC" w:rsidRDefault="007175CC" w:rsidP="007C5D55">
      <w:pPr>
        <w:autoSpaceDE w:val="0"/>
        <w:autoSpaceDN w:val="0"/>
        <w:adjustRightInd w:val="0"/>
        <w:spacing w:line="276" w:lineRule="auto"/>
        <w:ind w:firstLine="720"/>
        <w:rPr>
          <w:rFonts w:eastAsia="Calibri"/>
          <w:b/>
          <w:bCs/>
          <w:u w:val="single"/>
          <w:lang w:eastAsia="en-US"/>
        </w:rPr>
      </w:pPr>
      <w:r w:rsidRPr="007175CC">
        <w:rPr>
          <w:rFonts w:eastAsia="Calibri"/>
          <w:b/>
          <w:bCs/>
          <w:u w:val="single"/>
          <w:lang w:eastAsia="en-US"/>
        </w:rPr>
        <w:t xml:space="preserve">Tarybos išvados </w:t>
      </w:r>
      <w:r w:rsidR="007C5D55" w:rsidRPr="007175CC">
        <w:rPr>
          <w:rFonts w:eastAsia="Calibri"/>
          <w:b/>
          <w:bCs/>
          <w:u w:val="single"/>
          <w:lang w:eastAsia="en-US"/>
        </w:rPr>
        <w:t xml:space="preserve">dėl Europos Audito Rūmų ataskaitos dėl lyčių aspekto integravimo į ES biudžetą </w:t>
      </w:r>
    </w:p>
    <w:p w14:paraId="084DF7FA" w14:textId="2362AF5D" w:rsidR="007C5D55" w:rsidRPr="00B84A6D" w:rsidRDefault="007C5D55" w:rsidP="007C5D55">
      <w:pPr>
        <w:autoSpaceDE w:val="0"/>
        <w:autoSpaceDN w:val="0"/>
        <w:adjustRightInd w:val="0"/>
        <w:spacing w:line="276" w:lineRule="auto"/>
        <w:ind w:firstLine="720"/>
        <w:rPr>
          <w:i/>
        </w:rPr>
      </w:pPr>
      <w:r w:rsidRPr="00B84A6D">
        <w:rPr>
          <w:i/>
        </w:rPr>
        <w:t xml:space="preserve">= Patvirtinimas </w:t>
      </w:r>
    </w:p>
    <w:p w14:paraId="73AA93FA" w14:textId="77777777" w:rsidR="000038BE" w:rsidRPr="00B84A6D" w:rsidRDefault="0076341F" w:rsidP="000038BE">
      <w:pPr>
        <w:ind w:firstLine="731"/>
        <w:rPr>
          <w:b/>
          <w:bCs/>
        </w:rPr>
      </w:pPr>
      <w:r w:rsidRPr="00B84A6D">
        <w:rPr>
          <w:b/>
          <w:bCs/>
        </w:rPr>
        <w:t>Klausimo esmė</w:t>
      </w:r>
    </w:p>
    <w:p w14:paraId="1E54362D" w14:textId="256E62BA" w:rsidR="000038BE" w:rsidRPr="00B84A6D" w:rsidRDefault="000038BE" w:rsidP="000038BE">
      <w:pPr>
        <w:ind w:firstLine="731"/>
        <w:jc w:val="both"/>
        <w:rPr>
          <w:b/>
          <w:bCs/>
        </w:rPr>
      </w:pPr>
      <w:r w:rsidRPr="00B84A6D">
        <w:lastRenderedPageBreak/>
        <w:t>Tarybos išvadose</w:t>
      </w:r>
      <w:r w:rsidRPr="00B84A6D">
        <w:rPr>
          <w:b/>
          <w:bCs/>
        </w:rPr>
        <w:t xml:space="preserve"> </w:t>
      </w:r>
      <w:r w:rsidRPr="00B84A6D">
        <w:t xml:space="preserve">pabrėžiama, kaip svarbu, kad lyčių aspekto integravimas būtų taikomas ES biudžete, laikantis Sutarties dėl Europos Sąjungos veikimo 8 straipsnyje įtvirtinto įsipareigojimo, pagal kurį „Sąjunga, vykdydama visą savo veiklą, siekia panaikinti nelygybę, ir skatinti moterų ir vyrų lygybę “. Taryba primena, kad 2020 m. gruodžio 16 d. Europos Parlamento, Tarybos ir Komisijos tarpinstituciniame susitarime numatytus įsipareigojimus gerinti lyčių lygybei skirtų išlaidų stebėseną bei patvirtina ekonominę lyčių lygybės naudą, kuri yra būtina Europos konkurencingumo ir tvaraus bei integracinio augimo sąlyga. Taryba pabrėžia specialiosios </w:t>
      </w:r>
      <w:r w:rsidR="00F85809">
        <w:t xml:space="preserve">Europos Audito rūmų </w:t>
      </w:r>
      <w:r w:rsidRPr="00B84A6D">
        <w:t>ataskaitos svarbą įvairiose politikos srityse</w:t>
      </w:r>
      <w:r w:rsidRPr="00B84A6D">
        <w:rPr>
          <w:b/>
          <w:bCs/>
        </w:rPr>
        <w:t>.</w:t>
      </w:r>
    </w:p>
    <w:p w14:paraId="74339FE5" w14:textId="77777777" w:rsidR="000038BE" w:rsidRPr="00B84A6D" w:rsidRDefault="008E5CC0" w:rsidP="000038BE">
      <w:pPr>
        <w:ind w:firstLine="731"/>
        <w:jc w:val="both"/>
        <w:rPr>
          <w:b/>
          <w:bCs/>
        </w:rPr>
      </w:pPr>
      <w:bookmarkStart w:id="2" w:name="_Hlk73967509"/>
      <w:r w:rsidRPr="00B84A6D">
        <w:rPr>
          <w:b/>
          <w:bCs/>
        </w:rPr>
        <w:t>Lietuvos pozicija</w:t>
      </w:r>
      <w:bookmarkEnd w:id="2"/>
    </w:p>
    <w:p w14:paraId="35A8D628" w14:textId="16CE5104" w:rsidR="000038BE" w:rsidRPr="00B84A6D" w:rsidRDefault="000038BE" w:rsidP="000038BE">
      <w:pPr>
        <w:ind w:firstLine="731"/>
        <w:jc w:val="both"/>
        <w:rPr>
          <w:b/>
          <w:bCs/>
        </w:rPr>
      </w:pPr>
      <w:r w:rsidRPr="00B84A6D">
        <w:t xml:space="preserve">Tarybos išvadų projektui pritariame. </w:t>
      </w:r>
      <w:r w:rsidRPr="00B84A6D">
        <w:rPr>
          <w:b/>
          <w:bCs/>
        </w:rPr>
        <w:t xml:space="preserve"> </w:t>
      </w:r>
      <w:r w:rsidRPr="00B84A6D">
        <w:t xml:space="preserve">Lyčių aspekto integravimo į ES biudžetą klausimas yra savalaikis ir aktualus, todėl palaikome Tarybos išvadų projekte keliamas iniciatyvas. </w:t>
      </w:r>
    </w:p>
    <w:p w14:paraId="083A05FC" w14:textId="2BD95860" w:rsidR="0076341F" w:rsidRPr="00B84A6D" w:rsidRDefault="0076341F" w:rsidP="000038BE">
      <w:pPr>
        <w:ind w:firstLine="731"/>
        <w:rPr>
          <w:iCs/>
        </w:rPr>
      </w:pPr>
    </w:p>
    <w:p w14:paraId="7E0F0134" w14:textId="77777777" w:rsidR="00C841B6" w:rsidRPr="00B84A6D" w:rsidRDefault="00C841B6" w:rsidP="00C841B6">
      <w:pPr>
        <w:widowControl w:val="0"/>
        <w:ind w:firstLine="731"/>
        <w:jc w:val="both"/>
        <w:rPr>
          <w:b/>
          <w:u w:val="single"/>
        </w:rPr>
      </w:pPr>
      <w:bookmarkStart w:id="3" w:name="_Hlk73968127"/>
      <w:r w:rsidRPr="00B84A6D">
        <w:rPr>
          <w:b/>
          <w:u w:val="single"/>
        </w:rPr>
        <w:t>Kiti klausimai</w:t>
      </w:r>
    </w:p>
    <w:p w14:paraId="565DEE60" w14:textId="2A6C3512" w:rsidR="000038BE" w:rsidRPr="00B84A6D" w:rsidRDefault="00C841B6" w:rsidP="00C841B6">
      <w:pPr>
        <w:widowControl w:val="0"/>
        <w:ind w:firstLine="731"/>
        <w:jc w:val="both"/>
        <w:rPr>
          <w:rFonts w:eastAsiaTheme="minorHAnsi"/>
        </w:rPr>
      </w:pPr>
      <w:r w:rsidRPr="00B84A6D">
        <w:rPr>
          <w:rFonts w:eastAsiaTheme="minorHAnsi"/>
        </w:rPr>
        <w:t>a)</w:t>
      </w:r>
      <w:r w:rsidR="000038BE" w:rsidRPr="00B84A6D">
        <w:rPr>
          <w:rFonts w:eastAsiaTheme="minorHAnsi"/>
        </w:rPr>
        <w:t xml:space="preserve"> Ilgalaikė kaimo vietovių vizija.</w:t>
      </w:r>
    </w:p>
    <w:p w14:paraId="1851F220" w14:textId="77777777" w:rsidR="000038BE" w:rsidRPr="00B84A6D" w:rsidRDefault="000038BE" w:rsidP="000038BE">
      <w:pPr>
        <w:widowControl w:val="0"/>
        <w:ind w:firstLine="731"/>
        <w:jc w:val="both"/>
        <w:rPr>
          <w:rFonts w:eastAsiaTheme="minorHAnsi"/>
          <w:i/>
          <w:iCs/>
        </w:rPr>
      </w:pPr>
      <w:r w:rsidRPr="00B84A6D">
        <w:rPr>
          <w:rFonts w:eastAsiaTheme="minorHAnsi"/>
          <w:i/>
          <w:iCs/>
        </w:rPr>
        <w:t>Komisijos informacija</w:t>
      </w:r>
    </w:p>
    <w:p w14:paraId="548A1A1A" w14:textId="77777777" w:rsidR="000038BE" w:rsidRPr="00B84A6D" w:rsidRDefault="000038BE" w:rsidP="00C841B6">
      <w:pPr>
        <w:widowControl w:val="0"/>
        <w:ind w:firstLine="731"/>
        <w:jc w:val="both"/>
      </w:pPr>
      <w:r w:rsidRPr="00B84A6D">
        <w:t xml:space="preserve">b) Trišalis socialinių reikalų aukščiausio lygio susitikimas (2021 m. spalio 20 d.) </w:t>
      </w:r>
    </w:p>
    <w:p w14:paraId="77BDC7BA" w14:textId="143CB21B" w:rsidR="000038BE" w:rsidRPr="00B84A6D" w:rsidRDefault="00C841B6" w:rsidP="000038BE">
      <w:pPr>
        <w:widowControl w:val="0"/>
        <w:ind w:firstLine="731"/>
        <w:jc w:val="both"/>
        <w:rPr>
          <w:rFonts w:eastAsiaTheme="minorHAnsi"/>
          <w:i/>
          <w:iCs/>
        </w:rPr>
      </w:pPr>
      <w:r w:rsidRPr="00B84A6D">
        <w:rPr>
          <w:rFonts w:eastAsiaTheme="minorHAnsi"/>
          <w:i/>
          <w:iCs/>
        </w:rPr>
        <w:t>Pirmininkaujančios valstybės narės</w:t>
      </w:r>
      <w:r w:rsidR="000038BE" w:rsidRPr="00B84A6D">
        <w:rPr>
          <w:rFonts w:eastAsiaTheme="minorHAnsi"/>
          <w:i/>
          <w:iCs/>
        </w:rPr>
        <w:t xml:space="preserve"> ir</w:t>
      </w:r>
      <w:r w:rsidRPr="00B84A6D">
        <w:rPr>
          <w:rFonts w:eastAsiaTheme="minorHAnsi"/>
          <w:i/>
          <w:iCs/>
        </w:rPr>
        <w:t xml:space="preserve"> </w:t>
      </w:r>
      <w:r w:rsidR="000038BE" w:rsidRPr="00B84A6D">
        <w:rPr>
          <w:rFonts w:eastAsiaTheme="minorHAnsi"/>
          <w:i/>
          <w:iCs/>
        </w:rPr>
        <w:t>Komisijos informacija.</w:t>
      </w:r>
    </w:p>
    <w:p w14:paraId="37AC2E11" w14:textId="77777777" w:rsidR="00C841B6" w:rsidRPr="00B84A6D" w:rsidRDefault="00C841B6" w:rsidP="00C841B6">
      <w:pPr>
        <w:widowControl w:val="0"/>
        <w:ind w:firstLine="731"/>
        <w:jc w:val="both"/>
        <w:rPr>
          <w:rFonts w:eastAsiaTheme="minorHAnsi"/>
          <w:b/>
          <w:bCs/>
        </w:rPr>
      </w:pPr>
      <w:r w:rsidRPr="00B84A6D">
        <w:rPr>
          <w:rFonts w:eastAsiaTheme="minorHAnsi"/>
          <w:b/>
          <w:bCs/>
        </w:rPr>
        <w:t xml:space="preserve">Lietuvos pozicija </w:t>
      </w:r>
    </w:p>
    <w:p w14:paraId="1062AC61" w14:textId="63701485" w:rsidR="00C841B6" w:rsidRPr="00B84A6D" w:rsidRDefault="00C841B6" w:rsidP="00C841B6">
      <w:pPr>
        <w:widowControl w:val="0"/>
        <w:ind w:firstLine="731"/>
        <w:jc w:val="both"/>
        <w:rPr>
          <w:rFonts w:eastAsiaTheme="minorHAnsi"/>
        </w:rPr>
      </w:pPr>
      <w:r w:rsidRPr="00B84A6D">
        <w:rPr>
          <w:rFonts w:eastAsiaTheme="minorHAnsi"/>
        </w:rPr>
        <w:t>Išklausyti informaciją.</w:t>
      </w:r>
    </w:p>
    <w:bookmarkEnd w:id="3"/>
    <w:p w14:paraId="6DBD1615" w14:textId="77777777" w:rsidR="00C841B6" w:rsidRPr="00B84A6D" w:rsidRDefault="00C841B6" w:rsidP="00C841B6">
      <w:pPr>
        <w:widowControl w:val="0"/>
        <w:ind w:firstLine="731"/>
        <w:jc w:val="both"/>
        <w:rPr>
          <w:rFonts w:eastAsiaTheme="minorHAnsi"/>
        </w:rPr>
      </w:pPr>
    </w:p>
    <w:sectPr w:rsidR="00C841B6" w:rsidRPr="00B84A6D" w:rsidSect="008B2FD8">
      <w:headerReference w:type="even" r:id="rId8"/>
      <w:headerReference w:type="default" r:id="rId9"/>
      <w:footerReference w:type="even" r:id="rId10"/>
      <w:footerReference w:type="default" r:id="rId11"/>
      <w:headerReference w:type="first" r:id="rId12"/>
      <w:footerReference w:type="first" r:id="rId13"/>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6F25F" w14:textId="77777777" w:rsidR="003528B3" w:rsidRDefault="003528B3" w:rsidP="00A5018D">
      <w:r>
        <w:separator/>
      </w:r>
    </w:p>
  </w:endnote>
  <w:endnote w:type="continuationSeparator" w:id="0">
    <w:p w14:paraId="19799F5F" w14:textId="77777777" w:rsidR="003528B3" w:rsidRDefault="003528B3"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2782A" w14:textId="77777777" w:rsidR="00A5018D" w:rsidRDefault="00A50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40B" w14:textId="77777777" w:rsidR="00A5018D" w:rsidRDefault="00A5018D">
    <w:pPr>
      <w:pStyle w:val="Porat"/>
      <w:jc w:val="right"/>
    </w:pPr>
    <w:r>
      <w:fldChar w:fldCharType="begin"/>
    </w:r>
    <w:r>
      <w:instrText>PAGE   \* MERGEFORMAT</w:instrText>
    </w:r>
    <w:r>
      <w:fldChar w:fldCharType="separate"/>
    </w:r>
    <w:r w:rsidR="00334DF8">
      <w:rPr>
        <w:noProof/>
      </w:rPr>
      <w:t>4</w:t>
    </w:r>
    <w:r>
      <w:fldChar w:fldCharType="end"/>
    </w:r>
  </w:p>
  <w:p w14:paraId="65C23841" w14:textId="77777777" w:rsidR="00A5018D" w:rsidRDefault="00A50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5D2E" w14:textId="77777777" w:rsidR="00A5018D" w:rsidRDefault="00A50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4CE7C" w14:textId="77777777" w:rsidR="003528B3" w:rsidRDefault="003528B3" w:rsidP="00A5018D">
      <w:r>
        <w:separator/>
      </w:r>
    </w:p>
  </w:footnote>
  <w:footnote w:type="continuationSeparator" w:id="0">
    <w:p w14:paraId="5C2CD7BB" w14:textId="77777777" w:rsidR="003528B3" w:rsidRDefault="003528B3" w:rsidP="00A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AB42" w14:textId="77777777" w:rsidR="00A5018D" w:rsidRDefault="00A50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628A" w14:textId="77777777" w:rsidR="00A5018D" w:rsidRDefault="00A501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A572" w14:textId="77777777" w:rsidR="00A5018D" w:rsidRDefault="00A50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 w15:restartNumberingAfterBreak="0">
    <w:nsid w:val="713C5D41"/>
    <w:multiLevelType w:val="hybridMultilevel"/>
    <w:tmpl w:val="3C5E5D56"/>
    <w:lvl w:ilvl="0" w:tplc="04270001">
      <w:start w:val="1"/>
      <w:numFmt w:val="bullet"/>
      <w:lvlText w:val=""/>
      <w:lvlJc w:val="left"/>
      <w:pPr>
        <w:ind w:left="0" w:hanging="360"/>
      </w:pPr>
      <w:rPr>
        <w:rFonts w:ascii="Symbol" w:hAnsi="Symbol" w:hint="default"/>
      </w:rPr>
    </w:lvl>
    <w:lvl w:ilvl="1" w:tplc="04270003">
      <w:start w:val="1"/>
      <w:numFmt w:val="bullet"/>
      <w:lvlText w:val="o"/>
      <w:lvlJc w:val="left"/>
      <w:pPr>
        <w:ind w:left="720" w:hanging="360"/>
      </w:pPr>
      <w:rPr>
        <w:rFonts w:ascii="Courier New" w:hAnsi="Courier New" w:cs="Courier New" w:hint="default"/>
      </w:rPr>
    </w:lvl>
    <w:lvl w:ilvl="2" w:tplc="04270005">
      <w:start w:val="1"/>
      <w:numFmt w:val="bullet"/>
      <w:lvlText w:val=""/>
      <w:lvlJc w:val="left"/>
      <w:pPr>
        <w:ind w:left="1440" w:hanging="360"/>
      </w:pPr>
      <w:rPr>
        <w:rFonts w:ascii="Wingdings" w:hAnsi="Wingdings" w:hint="default"/>
      </w:rPr>
    </w:lvl>
    <w:lvl w:ilvl="3" w:tplc="04270001">
      <w:start w:val="1"/>
      <w:numFmt w:val="bullet"/>
      <w:lvlText w:val=""/>
      <w:lvlJc w:val="left"/>
      <w:pPr>
        <w:ind w:left="2160" w:hanging="360"/>
      </w:pPr>
      <w:rPr>
        <w:rFonts w:ascii="Symbol" w:hAnsi="Symbol" w:hint="default"/>
      </w:rPr>
    </w:lvl>
    <w:lvl w:ilvl="4" w:tplc="04270003">
      <w:start w:val="1"/>
      <w:numFmt w:val="bullet"/>
      <w:lvlText w:val="o"/>
      <w:lvlJc w:val="left"/>
      <w:pPr>
        <w:ind w:left="2880" w:hanging="360"/>
      </w:pPr>
      <w:rPr>
        <w:rFonts w:ascii="Courier New" w:hAnsi="Courier New" w:cs="Courier New" w:hint="default"/>
      </w:rPr>
    </w:lvl>
    <w:lvl w:ilvl="5" w:tplc="04270005">
      <w:start w:val="1"/>
      <w:numFmt w:val="bullet"/>
      <w:lvlText w:val=""/>
      <w:lvlJc w:val="left"/>
      <w:pPr>
        <w:ind w:left="3600" w:hanging="360"/>
      </w:pPr>
      <w:rPr>
        <w:rFonts w:ascii="Wingdings" w:hAnsi="Wingdings" w:hint="default"/>
      </w:rPr>
    </w:lvl>
    <w:lvl w:ilvl="6" w:tplc="04270001">
      <w:start w:val="1"/>
      <w:numFmt w:val="bullet"/>
      <w:lvlText w:val=""/>
      <w:lvlJc w:val="left"/>
      <w:pPr>
        <w:ind w:left="4320" w:hanging="360"/>
      </w:pPr>
      <w:rPr>
        <w:rFonts w:ascii="Symbol" w:hAnsi="Symbol" w:hint="default"/>
      </w:rPr>
    </w:lvl>
    <w:lvl w:ilvl="7" w:tplc="04270003">
      <w:start w:val="1"/>
      <w:numFmt w:val="bullet"/>
      <w:lvlText w:val="o"/>
      <w:lvlJc w:val="left"/>
      <w:pPr>
        <w:ind w:left="5040" w:hanging="360"/>
      </w:pPr>
      <w:rPr>
        <w:rFonts w:ascii="Courier New" w:hAnsi="Courier New" w:cs="Courier New" w:hint="default"/>
      </w:rPr>
    </w:lvl>
    <w:lvl w:ilvl="8" w:tplc="04270005">
      <w:start w:val="1"/>
      <w:numFmt w:val="bullet"/>
      <w:lvlText w:val=""/>
      <w:lvlJc w:val="left"/>
      <w:pPr>
        <w:ind w:left="5760" w:hanging="360"/>
      </w:pPr>
      <w:rPr>
        <w:rFonts w:ascii="Wingdings" w:hAnsi="Wingdings" w:hint="default"/>
      </w:rPr>
    </w:lvl>
  </w:abstractNum>
  <w:abstractNum w:abstractNumId="2" w15:restartNumberingAfterBreak="0">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D0"/>
    <w:rsid w:val="00001AD3"/>
    <w:rsid w:val="000038BE"/>
    <w:rsid w:val="00003925"/>
    <w:rsid w:val="00003BFB"/>
    <w:rsid w:val="000046C3"/>
    <w:rsid w:val="000204D3"/>
    <w:rsid w:val="00021B41"/>
    <w:rsid w:val="000226B7"/>
    <w:rsid w:val="00023839"/>
    <w:rsid w:val="00025A21"/>
    <w:rsid w:val="000300C5"/>
    <w:rsid w:val="00031920"/>
    <w:rsid w:val="00032A70"/>
    <w:rsid w:val="00032C46"/>
    <w:rsid w:val="0003522E"/>
    <w:rsid w:val="0004120C"/>
    <w:rsid w:val="0004259D"/>
    <w:rsid w:val="00045756"/>
    <w:rsid w:val="00061595"/>
    <w:rsid w:val="000615DA"/>
    <w:rsid w:val="00061DAB"/>
    <w:rsid w:val="00064938"/>
    <w:rsid w:val="00066518"/>
    <w:rsid w:val="00072DC3"/>
    <w:rsid w:val="00075F50"/>
    <w:rsid w:val="00086147"/>
    <w:rsid w:val="00095792"/>
    <w:rsid w:val="000A164D"/>
    <w:rsid w:val="000A478D"/>
    <w:rsid w:val="000C030B"/>
    <w:rsid w:val="000E10F9"/>
    <w:rsid w:val="000E4B54"/>
    <w:rsid w:val="000F378A"/>
    <w:rsid w:val="000F6963"/>
    <w:rsid w:val="0011062B"/>
    <w:rsid w:val="00113F2D"/>
    <w:rsid w:val="001315F0"/>
    <w:rsid w:val="00131BB5"/>
    <w:rsid w:val="00133186"/>
    <w:rsid w:val="00136014"/>
    <w:rsid w:val="00137D92"/>
    <w:rsid w:val="0014588E"/>
    <w:rsid w:val="00157764"/>
    <w:rsid w:val="001670C6"/>
    <w:rsid w:val="001706F7"/>
    <w:rsid w:val="00172592"/>
    <w:rsid w:val="00172BC3"/>
    <w:rsid w:val="001820E8"/>
    <w:rsid w:val="00184725"/>
    <w:rsid w:val="001968DD"/>
    <w:rsid w:val="001A419F"/>
    <w:rsid w:val="001A7D76"/>
    <w:rsid w:val="001B0117"/>
    <w:rsid w:val="001B08A2"/>
    <w:rsid w:val="001C1262"/>
    <w:rsid w:val="001D2FC5"/>
    <w:rsid w:val="001D44C4"/>
    <w:rsid w:val="001E2EAD"/>
    <w:rsid w:val="001F038A"/>
    <w:rsid w:val="001F3BFB"/>
    <w:rsid w:val="001F67B7"/>
    <w:rsid w:val="002010B5"/>
    <w:rsid w:val="0020788F"/>
    <w:rsid w:val="00212B66"/>
    <w:rsid w:val="00215073"/>
    <w:rsid w:val="00217A48"/>
    <w:rsid w:val="002215AB"/>
    <w:rsid w:val="002274BB"/>
    <w:rsid w:val="00233223"/>
    <w:rsid w:val="00237E5C"/>
    <w:rsid w:val="00246D45"/>
    <w:rsid w:val="002579EA"/>
    <w:rsid w:val="00263FA6"/>
    <w:rsid w:val="00267C7A"/>
    <w:rsid w:val="00272493"/>
    <w:rsid w:val="00276CA6"/>
    <w:rsid w:val="00276D51"/>
    <w:rsid w:val="00282835"/>
    <w:rsid w:val="00283447"/>
    <w:rsid w:val="00287360"/>
    <w:rsid w:val="00290795"/>
    <w:rsid w:val="002948E9"/>
    <w:rsid w:val="002A1CFA"/>
    <w:rsid w:val="002A2FC6"/>
    <w:rsid w:val="002A5034"/>
    <w:rsid w:val="002A6A22"/>
    <w:rsid w:val="002B1A3E"/>
    <w:rsid w:val="002B327F"/>
    <w:rsid w:val="002B5A28"/>
    <w:rsid w:val="002C5A66"/>
    <w:rsid w:val="002E1341"/>
    <w:rsid w:val="002E42F8"/>
    <w:rsid w:val="002E7E3F"/>
    <w:rsid w:val="002F1BDE"/>
    <w:rsid w:val="002F30DA"/>
    <w:rsid w:val="0030137A"/>
    <w:rsid w:val="00305D6B"/>
    <w:rsid w:val="0030638A"/>
    <w:rsid w:val="00321AF9"/>
    <w:rsid w:val="0032351A"/>
    <w:rsid w:val="00323859"/>
    <w:rsid w:val="00334DF8"/>
    <w:rsid w:val="00336681"/>
    <w:rsid w:val="0033741B"/>
    <w:rsid w:val="003375C2"/>
    <w:rsid w:val="0034208A"/>
    <w:rsid w:val="0034240A"/>
    <w:rsid w:val="003528B3"/>
    <w:rsid w:val="00360F9C"/>
    <w:rsid w:val="00362EA7"/>
    <w:rsid w:val="00371BDF"/>
    <w:rsid w:val="0038756A"/>
    <w:rsid w:val="00397BAF"/>
    <w:rsid w:val="003A0F59"/>
    <w:rsid w:val="003A3527"/>
    <w:rsid w:val="003A56F6"/>
    <w:rsid w:val="003A6376"/>
    <w:rsid w:val="003B0181"/>
    <w:rsid w:val="003C27A1"/>
    <w:rsid w:val="003E1638"/>
    <w:rsid w:val="003E3CD0"/>
    <w:rsid w:val="003F3CD3"/>
    <w:rsid w:val="003F5915"/>
    <w:rsid w:val="003F5D60"/>
    <w:rsid w:val="004143DA"/>
    <w:rsid w:val="004279B7"/>
    <w:rsid w:val="004373D4"/>
    <w:rsid w:val="004413E8"/>
    <w:rsid w:val="00442E0D"/>
    <w:rsid w:val="00443237"/>
    <w:rsid w:val="004663B8"/>
    <w:rsid w:val="00470575"/>
    <w:rsid w:val="00482F59"/>
    <w:rsid w:val="00492C19"/>
    <w:rsid w:val="00496B58"/>
    <w:rsid w:val="00497037"/>
    <w:rsid w:val="00497820"/>
    <w:rsid w:val="004A3F80"/>
    <w:rsid w:val="004B064F"/>
    <w:rsid w:val="004B2F38"/>
    <w:rsid w:val="004C0F1D"/>
    <w:rsid w:val="004C2A35"/>
    <w:rsid w:val="004D67E2"/>
    <w:rsid w:val="004E430B"/>
    <w:rsid w:val="004F0BC6"/>
    <w:rsid w:val="004F1C29"/>
    <w:rsid w:val="004F244E"/>
    <w:rsid w:val="004F31D4"/>
    <w:rsid w:val="004F33BF"/>
    <w:rsid w:val="004F6D58"/>
    <w:rsid w:val="00500D2A"/>
    <w:rsid w:val="0051241C"/>
    <w:rsid w:val="00515FD5"/>
    <w:rsid w:val="005212CF"/>
    <w:rsid w:val="005240BB"/>
    <w:rsid w:val="005330AF"/>
    <w:rsid w:val="00536522"/>
    <w:rsid w:val="005441C8"/>
    <w:rsid w:val="00550B3D"/>
    <w:rsid w:val="0055497F"/>
    <w:rsid w:val="005558CD"/>
    <w:rsid w:val="00555F8F"/>
    <w:rsid w:val="00575AA3"/>
    <w:rsid w:val="00576127"/>
    <w:rsid w:val="00585A70"/>
    <w:rsid w:val="00585C11"/>
    <w:rsid w:val="0058750E"/>
    <w:rsid w:val="00592B0E"/>
    <w:rsid w:val="005A1603"/>
    <w:rsid w:val="005A3DFC"/>
    <w:rsid w:val="005A5078"/>
    <w:rsid w:val="005B30A9"/>
    <w:rsid w:val="005C1EDC"/>
    <w:rsid w:val="005C744F"/>
    <w:rsid w:val="005D0AE4"/>
    <w:rsid w:val="005F1901"/>
    <w:rsid w:val="005F1BA8"/>
    <w:rsid w:val="005F1C99"/>
    <w:rsid w:val="005F1E38"/>
    <w:rsid w:val="005F5F24"/>
    <w:rsid w:val="00606918"/>
    <w:rsid w:val="00626C95"/>
    <w:rsid w:val="00633D1D"/>
    <w:rsid w:val="00640FBA"/>
    <w:rsid w:val="00641B94"/>
    <w:rsid w:val="00642DBA"/>
    <w:rsid w:val="00643C45"/>
    <w:rsid w:val="00644C66"/>
    <w:rsid w:val="00645426"/>
    <w:rsid w:val="00650150"/>
    <w:rsid w:val="0065233B"/>
    <w:rsid w:val="00662E6E"/>
    <w:rsid w:val="0066326B"/>
    <w:rsid w:val="00671051"/>
    <w:rsid w:val="00671E30"/>
    <w:rsid w:val="0067329B"/>
    <w:rsid w:val="0068399B"/>
    <w:rsid w:val="006966B4"/>
    <w:rsid w:val="006A008A"/>
    <w:rsid w:val="006A2850"/>
    <w:rsid w:val="006A59C2"/>
    <w:rsid w:val="006B6E06"/>
    <w:rsid w:val="006C1862"/>
    <w:rsid w:val="006C4DC7"/>
    <w:rsid w:val="006D76B7"/>
    <w:rsid w:val="006E0089"/>
    <w:rsid w:val="006E0E75"/>
    <w:rsid w:val="006E2A58"/>
    <w:rsid w:val="006E4132"/>
    <w:rsid w:val="006E56B6"/>
    <w:rsid w:val="006E695F"/>
    <w:rsid w:val="007175CC"/>
    <w:rsid w:val="007207A2"/>
    <w:rsid w:val="007218D0"/>
    <w:rsid w:val="0072542B"/>
    <w:rsid w:val="00726086"/>
    <w:rsid w:val="00726466"/>
    <w:rsid w:val="00730581"/>
    <w:rsid w:val="00733750"/>
    <w:rsid w:val="00735113"/>
    <w:rsid w:val="00735E60"/>
    <w:rsid w:val="007450B5"/>
    <w:rsid w:val="0074594C"/>
    <w:rsid w:val="00756553"/>
    <w:rsid w:val="0076341F"/>
    <w:rsid w:val="00766988"/>
    <w:rsid w:val="00771A6E"/>
    <w:rsid w:val="007747CA"/>
    <w:rsid w:val="0078149C"/>
    <w:rsid w:val="00786120"/>
    <w:rsid w:val="007863A2"/>
    <w:rsid w:val="00786E51"/>
    <w:rsid w:val="00790F33"/>
    <w:rsid w:val="00792BF6"/>
    <w:rsid w:val="00792BFA"/>
    <w:rsid w:val="00793A24"/>
    <w:rsid w:val="007B1A5B"/>
    <w:rsid w:val="007B4EF2"/>
    <w:rsid w:val="007C174F"/>
    <w:rsid w:val="007C5D55"/>
    <w:rsid w:val="007E10AA"/>
    <w:rsid w:val="007E299E"/>
    <w:rsid w:val="007E2D76"/>
    <w:rsid w:val="007F471B"/>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D0"/>
    <w:rsid w:val="0085172B"/>
    <w:rsid w:val="00864F55"/>
    <w:rsid w:val="00873AEE"/>
    <w:rsid w:val="0088056D"/>
    <w:rsid w:val="0088269B"/>
    <w:rsid w:val="00893043"/>
    <w:rsid w:val="00893AB5"/>
    <w:rsid w:val="008A2177"/>
    <w:rsid w:val="008A348F"/>
    <w:rsid w:val="008A618F"/>
    <w:rsid w:val="008B1BFB"/>
    <w:rsid w:val="008B2FD8"/>
    <w:rsid w:val="008D21F4"/>
    <w:rsid w:val="008D2DFB"/>
    <w:rsid w:val="008D33E3"/>
    <w:rsid w:val="008D72CB"/>
    <w:rsid w:val="008E182B"/>
    <w:rsid w:val="008E5CC0"/>
    <w:rsid w:val="008F3F77"/>
    <w:rsid w:val="008F5415"/>
    <w:rsid w:val="0090080F"/>
    <w:rsid w:val="0091150A"/>
    <w:rsid w:val="00921950"/>
    <w:rsid w:val="0092354A"/>
    <w:rsid w:val="0092502C"/>
    <w:rsid w:val="00935143"/>
    <w:rsid w:val="009428B2"/>
    <w:rsid w:val="00942F92"/>
    <w:rsid w:val="00952074"/>
    <w:rsid w:val="00960DE6"/>
    <w:rsid w:val="00960E27"/>
    <w:rsid w:val="009640B4"/>
    <w:rsid w:val="00974C50"/>
    <w:rsid w:val="00976E93"/>
    <w:rsid w:val="00977F7E"/>
    <w:rsid w:val="0098110A"/>
    <w:rsid w:val="009904AC"/>
    <w:rsid w:val="00991DA1"/>
    <w:rsid w:val="00994AAB"/>
    <w:rsid w:val="00995381"/>
    <w:rsid w:val="009A5844"/>
    <w:rsid w:val="009C14C0"/>
    <w:rsid w:val="009C74BF"/>
    <w:rsid w:val="009D00A7"/>
    <w:rsid w:val="009D02B9"/>
    <w:rsid w:val="009D2732"/>
    <w:rsid w:val="009D6379"/>
    <w:rsid w:val="009D69D4"/>
    <w:rsid w:val="009D74FF"/>
    <w:rsid w:val="009E0133"/>
    <w:rsid w:val="009F135E"/>
    <w:rsid w:val="009F1E22"/>
    <w:rsid w:val="009F3293"/>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D20"/>
    <w:rsid w:val="00A778F8"/>
    <w:rsid w:val="00A8240C"/>
    <w:rsid w:val="00A91EE1"/>
    <w:rsid w:val="00A93954"/>
    <w:rsid w:val="00A941AD"/>
    <w:rsid w:val="00A94B0F"/>
    <w:rsid w:val="00AA47F4"/>
    <w:rsid w:val="00AA4960"/>
    <w:rsid w:val="00AB3A16"/>
    <w:rsid w:val="00AB4605"/>
    <w:rsid w:val="00AB558D"/>
    <w:rsid w:val="00AD20DE"/>
    <w:rsid w:val="00AE1ED5"/>
    <w:rsid w:val="00AE3F0C"/>
    <w:rsid w:val="00AE434F"/>
    <w:rsid w:val="00AE779A"/>
    <w:rsid w:val="00AF44CF"/>
    <w:rsid w:val="00B03344"/>
    <w:rsid w:val="00B07370"/>
    <w:rsid w:val="00B16FF7"/>
    <w:rsid w:val="00B24686"/>
    <w:rsid w:val="00B255F3"/>
    <w:rsid w:val="00B2673E"/>
    <w:rsid w:val="00B3106A"/>
    <w:rsid w:val="00B3495C"/>
    <w:rsid w:val="00B40F02"/>
    <w:rsid w:val="00B41FA4"/>
    <w:rsid w:val="00B55BC2"/>
    <w:rsid w:val="00B55F9E"/>
    <w:rsid w:val="00B62A17"/>
    <w:rsid w:val="00B65580"/>
    <w:rsid w:val="00B71C7D"/>
    <w:rsid w:val="00B74160"/>
    <w:rsid w:val="00B84A6D"/>
    <w:rsid w:val="00B8656B"/>
    <w:rsid w:val="00BA6A08"/>
    <w:rsid w:val="00BA6A6D"/>
    <w:rsid w:val="00BC26BB"/>
    <w:rsid w:val="00BC2E6C"/>
    <w:rsid w:val="00BC402C"/>
    <w:rsid w:val="00BD1F06"/>
    <w:rsid w:val="00BD22F6"/>
    <w:rsid w:val="00BD3245"/>
    <w:rsid w:val="00BE3F9D"/>
    <w:rsid w:val="00BE682D"/>
    <w:rsid w:val="00BF4183"/>
    <w:rsid w:val="00BF77E5"/>
    <w:rsid w:val="00C015AD"/>
    <w:rsid w:val="00C04492"/>
    <w:rsid w:val="00C10CC5"/>
    <w:rsid w:val="00C113DD"/>
    <w:rsid w:val="00C12C89"/>
    <w:rsid w:val="00C163FB"/>
    <w:rsid w:val="00C26DFF"/>
    <w:rsid w:val="00C33436"/>
    <w:rsid w:val="00C34D83"/>
    <w:rsid w:val="00C34DC6"/>
    <w:rsid w:val="00C3626A"/>
    <w:rsid w:val="00C42A78"/>
    <w:rsid w:val="00C42F16"/>
    <w:rsid w:val="00C47531"/>
    <w:rsid w:val="00C47701"/>
    <w:rsid w:val="00C47ED1"/>
    <w:rsid w:val="00C52206"/>
    <w:rsid w:val="00C63A3E"/>
    <w:rsid w:val="00C74B87"/>
    <w:rsid w:val="00C75B8B"/>
    <w:rsid w:val="00C810F3"/>
    <w:rsid w:val="00C841B6"/>
    <w:rsid w:val="00C87EC2"/>
    <w:rsid w:val="00C9797E"/>
    <w:rsid w:val="00CA6F44"/>
    <w:rsid w:val="00CB061F"/>
    <w:rsid w:val="00CB2522"/>
    <w:rsid w:val="00CB58AC"/>
    <w:rsid w:val="00CC1511"/>
    <w:rsid w:val="00CC455F"/>
    <w:rsid w:val="00CC694D"/>
    <w:rsid w:val="00CD2F43"/>
    <w:rsid w:val="00CD5D7A"/>
    <w:rsid w:val="00CE5A14"/>
    <w:rsid w:val="00CF05D8"/>
    <w:rsid w:val="00CF2752"/>
    <w:rsid w:val="00CF400F"/>
    <w:rsid w:val="00CF45A6"/>
    <w:rsid w:val="00D014D4"/>
    <w:rsid w:val="00D04569"/>
    <w:rsid w:val="00D0638A"/>
    <w:rsid w:val="00D10A9D"/>
    <w:rsid w:val="00D167B1"/>
    <w:rsid w:val="00D250FA"/>
    <w:rsid w:val="00D256BB"/>
    <w:rsid w:val="00D305E5"/>
    <w:rsid w:val="00D3752C"/>
    <w:rsid w:val="00D6205E"/>
    <w:rsid w:val="00D621F2"/>
    <w:rsid w:val="00D62542"/>
    <w:rsid w:val="00D66223"/>
    <w:rsid w:val="00D70AF4"/>
    <w:rsid w:val="00D72D06"/>
    <w:rsid w:val="00D7761F"/>
    <w:rsid w:val="00D92049"/>
    <w:rsid w:val="00D92C8F"/>
    <w:rsid w:val="00DA33AA"/>
    <w:rsid w:val="00DA70C5"/>
    <w:rsid w:val="00DB54F6"/>
    <w:rsid w:val="00DC15F7"/>
    <w:rsid w:val="00DC2D1C"/>
    <w:rsid w:val="00DC2D81"/>
    <w:rsid w:val="00DD2E49"/>
    <w:rsid w:val="00DD4DC5"/>
    <w:rsid w:val="00DE2691"/>
    <w:rsid w:val="00DE3804"/>
    <w:rsid w:val="00DF1C31"/>
    <w:rsid w:val="00DF26F6"/>
    <w:rsid w:val="00DF3A80"/>
    <w:rsid w:val="00E111D0"/>
    <w:rsid w:val="00E11A18"/>
    <w:rsid w:val="00E15FB0"/>
    <w:rsid w:val="00E16E8C"/>
    <w:rsid w:val="00E20B4C"/>
    <w:rsid w:val="00E21D63"/>
    <w:rsid w:val="00E30A8C"/>
    <w:rsid w:val="00E32A53"/>
    <w:rsid w:val="00E356A0"/>
    <w:rsid w:val="00E36CA4"/>
    <w:rsid w:val="00E4128F"/>
    <w:rsid w:val="00E44A10"/>
    <w:rsid w:val="00E47C38"/>
    <w:rsid w:val="00E75D07"/>
    <w:rsid w:val="00E84133"/>
    <w:rsid w:val="00E85253"/>
    <w:rsid w:val="00EA22D2"/>
    <w:rsid w:val="00EA2879"/>
    <w:rsid w:val="00EA4D3C"/>
    <w:rsid w:val="00EB0081"/>
    <w:rsid w:val="00EC07BA"/>
    <w:rsid w:val="00EC6D67"/>
    <w:rsid w:val="00ED17AF"/>
    <w:rsid w:val="00ED1A72"/>
    <w:rsid w:val="00ED6E2F"/>
    <w:rsid w:val="00EE1C6C"/>
    <w:rsid w:val="00EE4057"/>
    <w:rsid w:val="00EE7B9D"/>
    <w:rsid w:val="00EF513A"/>
    <w:rsid w:val="00EF59CD"/>
    <w:rsid w:val="00EF7D13"/>
    <w:rsid w:val="00F018FC"/>
    <w:rsid w:val="00F04EE6"/>
    <w:rsid w:val="00F0753F"/>
    <w:rsid w:val="00F07838"/>
    <w:rsid w:val="00F07FDB"/>
    <w:rsid w:val="00F15074"/>
    <w:rsid w:val="00F2051C"/>
    <w:rsid w:val="00F21BBB"/>
    <w:rsid w:val="00F26173"/>
    <w:rsid w:val="00F27851"/>
    <w:rsid w:val="00F32C99"/>
    <w:rsid w:val="00F41915"/>
    <w:rsid w:val="00F43E78"/>
    <w:rsid w:val="00F440EC"/>
    <w:rsid w:val="00F50FF2"/>
    <w:rsid w:val="00F517FF"/>
    <w:rsid w:val="00F5400C"/>
    <w:rsid w:val="00F54587"/>
    <w:rsid w:val="00F60D94"/>
    <w:rsid w:val="00F63CB1"/>
    <w:rsid w:val="00F66A14"/>
    <w:rsid w:val="00F85809"/>
    <w:rsid w:val="00F90B6F"/>
    <w:rsid w:val="00F92209"/>
    <w:rsid w:val="00F934AA"/>
    <w:rsid w:val="00F96F13"/>
    <w:rsid w:val="00FA714A"/>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E415"/>
  <w15:docId w15:val="{D38607C6-38C6-4ACB-AC2C-A1DFFE11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2"/>
      </w:numPr>
      <w:outlineLvl w:val="1"/>
    </w:pPr>
    <w:rPr>
      <w:lang w:bidi="lt-LT"/>
    </w:rPr>
  </w:style>
  <w:style w:type="paragraph" w:styleId="prastasiniatinklio">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basedOn w:val="prastasis"/>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paragraph" w:customStyle="1" w:styleId="NormalRight">
    <w:name w:val="Normal Right"/>
    <w:basedOn w:val="prastasis"/>
    <w:rsid w:val="0076341F"/>
    <w:pPr>
      <w:jc w:val="right"/>
    </w:pPr>
    <w:rPr>
      <w:rFonts w:eastAsiaTheme="minorHAnsi"/>
      <w:szCs w:val="22"/>
      <w:lang w:eastAsia="en-US"/>
    </w:rPr>
  </w:style>
  <w:style w:type="paragraph" w:customStyle="1" w:styleId="Text1">
    <w:name w:val="Text 1"/>
    <w:basedOn w:val="prastasis"/>
    <w:rsid w:val="0076341F"/>
    <w:pPr>
      <w:ind w:left="567"/>
    </w:pPr>
    <w:rPr>
      <w:rFonts w:eastAsiaTheme="minorHAnsi"/>
      <w:szCs w:val="22"/>
      <w:lang w:eastAsia="en-US"/>
    </w:rPr>
  </w:style>
  <w:style w:type="character" w:customStyle="1" w:styleId="jlqj4b">
    <w:name w:val="jlqj4b"/>
    <w:basedOn w:val="Numatytasispastraiposriftas"/>
    <w:rsid w:val="008A348F"/>
  </w:style>
  <w:style w:type="character" w:customStyle="1" w:styleId="acopre">
    <w:name w:val="acopre"/>
    <w:basedOn w:val="Numatytasispastraiposriftas"/>
    <w:rsid w:val="00136014"/>
  </w:style>
  <w:style w:type="character" w:customStyle="1" w:styleId="b1">
    <w:name w:val="b1"/>
    <w:basedOn w:val="Numatytasispastraiposriftas"/>
    <w:rsid w:val="00003BFB"/>
  </w:style>
  <w:style w:type="character" w:customStyle="1" w:styleId="b2">
    <w:name w:val="b2"/>
    <w:basedOn w:val="Numatytasispastraiposriftas"/>
    <w:rsid w:val="00003BFB"/>
  </w:style>
  <w:style w:type="character" w:customStyle="1" w:styleId="b3">
    <w:name w:val="b3"/>
    <w:basedOn w:val="Numatytasispastraiposriftas"/>
    <w:rsid w:val="00003BFB"/>
  </w:style>
  <w:style w:type="character" w:customStyle="1" w:styleId="b4">
    <w:name w:val="b4"/>
    <w:basedOn w:val="Numatytasispastraiposriftas"/>
    <w:rsid w:val="00003BFB"/>
  </w:style>
  <w:style w:type="character" w:customStyle="1" w:styleId="b5">
    <w:name w:val="b5"/>
    <w:basedOn w:val="Numatytasispastraiposriftas"/>
    <w:rsid w:val="00003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3065">
      <w:bodyDiv w:val="1"/>
      <w:marLeft w:val="0"/>
      <w:marRight w:val="0"/>
      <w:marTop w:val="0"/>
      <w:marBottom w:val="0"/>
      <w:divBdr>
        <w:top w:val="none" w:sz="0" w:space="0" w:color="auto"/>
        <w:left w:val="none" w:sz="0" w:space="0" w:color="auto"/>
        <w:bottom w:val="none" w:sz="0" w:space="0" w:color="auto"/>
        <w:right w:val="none" w:sz="0" w:space="0" w:color="auto"/>
      </w:divBdr>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35483237">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295110151">
      <w:bodyDiv w:val="1"/>
      <w:marLeft w:val="0"/>
      <w:marRight w:val="0"/>
      <w:marTop w:val="0"/>
      <w:marBottom w:val="0"/>
      <w:divBdr>
        <w:top w:val="none" w:sz="0" w:space="0" w:color="auto"/>
        <w:left w:val="none" w:sz="0" w:space="0" w:color="auto"/>
        <w:bottom w:val="none" w:sz="0" w:space="0" w:color="auto"/>
        <w:right w:val="none" w:sz="0" w:space="0" w:color="auto"/>
      </w:divBdr>
      <w:divsChild>
        <w:div w:id="1765346752">
          <w:marLeft w:val="0"/>
          <w:marRight w:val="0"/>
          <w:marTop w:val="0"/>
          <w:marBottom w:val="0"/>
          <w:divBdr>
            <w:top w:val="none" w:sz="0" w:space="0" w:color="auto"/>
            <w:left w:val="none" w:sz="0" w:space="0" w:color="auto"/>
            <w:bottom w:val="none" w:sz="0" w:space="0" w:color="auto"/>
            <w:right w:val="none" w:sz="0" w:space="0" w:color="auto"/>
          </w:divBdr>
        </w:div>
        <w:div w:id="382293736">
          <w:marLeft w:val="0"/>
          <w:marRight w:val="0"/>
          <w:marTop w:val="0"/>
          <w:marBottom w:val="0"/>
          <w:divBdr>
            <w:top w:val="none" w:sz="0" w:space="0" w:color="auto"/>
            <w:left w:val="none" w:sz="0" w:space="0" w:color="auto"/>
            <w:bottom w:val="none" w:sz="0" w:space="0" w:color="auto"/>
            <w:right w:val="none" w:sz="0" w:space="0" w:color="auto"/>
          </w:divBdr>
        </w:div>
      </w:divsChild>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889466">
      <w:bodyDiv w:val="1"/>
      <w:marLeft w:val="0"/>
      <w:marRight w:val="0"/>
      <w:marTop w:val="0"/>
      <w:marBottom w:val="0"/>
      <w:divBdr>
        <w:top w:val="none" w:sz="0" w:space="0" w:color="auto"/>
        <w:left w:val="none" w:sz="0" w:space="0" w:color="auto"/>
        <w:bottom w:val="none" w:sz="0" w:space="0" w:color="auto"/>
        <w:right w:val="none" w:sz="0" w:space="0" w:color="auto"/>
      </w:divBdr>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25022789">
      <w:bodyDiv w:val="1"/>
      <w:marLeft w:val="0"/>
      <w:marRight w:val="0"/>
      <w:marTop w:val="0"/>
      <w:marBottom w:val="0"/>
      <w:divBdr>
        <w:top w:val="none" w:sz="0" w:space="0" w:color="auto"/>
        <w:left w:val="none" w:sz="0" w:space="0" w:color="auto"/>
        <w:bottom w:val="none" w:sz="0" w:space="0" w:color="auto"/>
        <w:right w:val="none" w:sz="0" w:space="0" w:color="auto"/>
      </w:divBdr>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3130374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06797162">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84209476">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39720023">
      <w:bodyDiv w:val="1"/>
      <w:marLeft w:val="0"/>
      <w:marRight w:val="0"/>
      <w:marTop w:val="0"/>
      <w:marBottom w:val="0"/>
      <w:divBdr>
        <w:top w:val="none" w:sz="0" w:space="0" w:color="auto"/>
        <w:left w:val="none" w:sz="0" w:space="0" w:color="auto"/>
        <w:bottom w:val="none" w:sz="0" w:space="0" w:color="auto"/>
        <w:right w:val="none" w:sz="0" w:space="0" w:color="auto"/>
      </w:divBdr>
      <w:divsChild>
        <w:div w:id="1023170207">
          <w:marLeft w:val="0"/>
          <w:marRight w:val="0"/>
          <w:marTop w:val="0"/>
          <w:marBottom w:val="0"/>
          <w:divBdr>
            <w:top w:val="none" w:sz="0" w:space="0" w:color="auto"/>
            <w:left w:val="none" w:sz="0" w:space="0" w:color="auto"/>
            <w:bottom w:val="none" w:sz="0" w:space="0" w:color="auto"/>
            <w:right w:val="none" w:sz="0" w:space="0" w:color="auto"/>
          </w:divBdr>
        </w:div>
        <w:div w:id="582186775">
          <w:marLeft w:val="0"/>
          <w:marRight w:val="0"/>
          <w:marTop w:val="0"/>
          <w:marBottom w:val="0"/>
          <w:divBdr>
            <w:top w:val="none" w:sz="0" w:space="0" w:color="auto"/>
            <w:left w:val="none" w:sz="0" w:space="0" w:color="auto"/>
            <w:bottom w:val="none" w:sz="0" w:space="0" w:color="auto"/>
            <w:right w:val="none" w:sz="0" w:space="0" w:color="auto"/>
          </w:divBdr>
        </w:div>
      </w:divsChild>
    </w:div>
    <w:div w:id="1439981789">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21163947">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581327499">
      <w:bodyDiv w:val="1"/>
      <w:marLeft w:val="0"/>
      <w:marRight w:val="0"/>
      <w:marTop w:val="0"/>
      <w:marBottom w:val="0"/>
      <w:divBdr>
        <w:top w:val="none" w:sz="0" w:space="0" w:color="auto"/>
        <w:left w:val="none" w:sz="0" w:space="0" w:color="auto"/>
        <w:bottom w:val="none" w:sz="0" w:space="0" w:color="auto"/>
        <w:right w:val="none" w:sz="0" w:space="0" w:color="auto"/>
      </w:divBdr>
    </w:div>
    <w:div w:id="1636526293">
      <w:bodyDiv w:val="1"/>
      <w:marLeft w:val="0"/>
      <w:marRight w:val="0"/>
      <w:marTop w:val="0"/>
      <w:marBottom w:val="0"/>
      <w:divBdr>
        <w:top w:val="none" w:sz="0" w:space="0" w:color="auto"/>
        <w:left w:val="none" w:sz="0" w:space="0" w:color="auto"/>
        <w:bottom w:val="none" w:sz="0" w:space="0" w:color="auto"/>
        <w:right w:val="none" w:sz="0" w:space="0" w:color="auto"/>
      </w:divBdr>
      <w:divsChild>
        <w:div w:id="834538627">
          <w:marLeft w:val="0"/>
          <w:marRight w:val="0"/>
          <w:marTop w:val="0"/>
          <w:marBottom w:val="0"/>
          <w:divBdr>
            <w:top w:val="none" w:sz="0" w:space="0" w:color="auto"/>
            <w:left w:val="none" w:sz="0" w:space="0" w:color="auto"/>
            <w:bottom w:val="none" w:sz="0" w:space="0" w:color="auto"/>
            <w:right w:val="none" w:sz="0" w:space="0" w:color="auto"/>
          </w:divBdr>
        </w:div>
        <w:div w:id="89352892">
          <w:marLeft w:val="0"/>
          <w:marRight w:val="0"/>
          <w:marTop w:val="0"/>
          <w:marBottom w:val="0"/>
          <w:divBdr>
            <w:top w:val="none" w:sz="0" w:space="0" w:color="auto"/>
            <w:left w:val="none" w:sz="0" w:space="0" w:color="auto"/>
            <w:bottom w:val="none" w:sz="0" w:space="0" w:color="auto"/>
            <w:right w:val="none" w:sz="0" w:space="0" w:color="auto"/>
          </w:divBdr>
        </w:div>
      </w:divsChild>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64430364">
      <w:bodyDiv w:val="1"/>
      <w:marLeft w:val="0"/>
      <w:marRight w:val="0"/>
      <w:marTop w:val="0"/>
      <w:marBottom w:val="0"/>
      <w:divBdr>
        <w:top w:val="none" w:sz="0" w:space="0" w:color="auto"/>
        <w:left w:val="none" w:sz="0" w:space="0" w:color="auto"/>
        <w:bottom w:val="none" w:sz="0" w:space="0" w:color="auto"/>
        <w:right w:val="none" w:sz="0" w:space="0" w:color="auto"/>
      </w:divBdr>
      <w:divsChild>
        <w:div w:id="294064055">
          <w:marLeft w:val="0"/>
          <w:marRight w:val="0"/>
          <w:marTop w:val="0"/>
          <w:marBottom w:val="0"/>
          <w:divBdr>
            <w:top w:val="none" w:sz="0" w:space="0" w:color="auto"/>
            <w:left w:val="none" w:sz="0" w:space="0" w:color="auto"/>
            <w:bottom w:val="none" w:sz="0" w:space="0" w:color="auto"/>
            <w:right w:val="none" w:sz="0" w:space="0" w:color="auto"/>
          </w:divBdr>
        </w:div>
        <w:div w:id="1917936539">
          <w:marLeft w:val="0"/>
          <w:marRight w:val="0"/>
          <w:marTop w:val="0"/>
          <w:marBottom w:val="0"/>
          <w:divBdr>
            <w:top w:val="none" w:sz="0" w:space="0" w:color="auto"/>
            <w:left w:val="none" w:sz="0" w:space="0" w:color="auto"/>
            <w:bottom w:val="none" w:sz="0" w:space="0" w:color="auto"/>
            <w:right w:val="none" w:sz="0" w:space="0" w:color="auto"/>
          </w:divBdr>
        </w:div>
      </w:divsChild>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3018104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64521426">
      <w:bodyDiv w:val="1"/>
      <w:marLeft w:val="0"/>
      <w:marRight w:val="0"/>
      <w:marTop w:val="0"/>
      <w:marBottom w:val="0"/>
      <w:divBdr>
        <w:top w:val="none" w:sz="0" w:space="0" w:color="auto"/>
        <w:left w:val="none" w:sz="0" w:space="0" w:color="auto"/>
        <w:bottom w:val="none" w:sz="0" w:space="0" w:color="auto"/>
        <w:right w:val="none" w:sz="0" w:space="0" w:color="auto"/>
      </w:divBdr>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330555">
      <w:bodyDiv w:val="1"/>
      <w:marLeft w:val="0"/>
      <w:marRight w:val="0"/>
      <w:marTop w:val="0"/>
      <w:marBottom w:val="0"/>
      <w:divBdr>
        <w:top w:val="none" w:sz="0" w:space="0" w:color="auto"/>
        <w:left w:val="none" w:sz="0" w:space="0" w:color="auto"/>
        <w:bottom w:val="none" w:sz="0" w:space="0" w:color="auto"/>
        <w:right w:val="none" w:sz="0" w:space="0" w:color="auto"/>
      </w:divBdr>
      <w:divsChild>
        <w:div w:id="2086216663">
          <w:marLeft w:val="0"/>
          <w:marRight w:val="0"/>
          <w:marTop w:val="0"/>
          <w:marBottom w:val="0"/>
          <w:divBdr>
            <w:top w:val="none" w:sz="0" w:space="0" w:color="auto"/>
            <w:left w:val="none" w:sz="0" w:space="0" w:color="auto"/>
            <w:bottom w:val="none" w:sz="0" w:space="0" w:color="auto"/>
            <w:right w:val="none" w:sz="0" w:space="0" w:color="auto"/>
          </w:divBdr>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294EC-8C57-416A-B82F-68C4BCA9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9014</Words>
  <Characters>5138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2019-06-03T12:48:00Z</dcterms:created>
  <dc:creator>Ieva Rutkauskaitė</dc:creator>
  <cp:lastModifiedBy>Donata Šlekytė</cp:lastModifiedBy>
  <cp:lastPrinted>2018-11-19T08:56:00Z</cp:lastPrinted>
  <dcterms:modified xsi:type="dcterms:W3CDTF">2021-10-11T06:38:00Z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