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B6D" w:rsidRPr="007B60E0" w:rsidRDefault="008C7B6D" w:rsidP="00614E0F">
      <w:pPr>
        <w:pStyle w:val="BodyA0"/>
        <w:jc w:val="center"/>
        <w:rPr>
          <w:rFonts w:eastAsia="Times New Roman Bold" w:hAnsi="Times New Roman" w:cs="Times New Roman"/>
          <w:b/>
          <w:lang w:val="lt-LT"/>
        </w:rPr>
      </w:pPr>
      <w:r w:rsidRPr="007B60E0">
        <w:rPr>
          <w:rFonts w:eastAsia="Calibri" w:hAnsi="Times New Roman" w:cs="Times New Roman"/>
          <w:b/>
          <w:lang w:val="lt-LT" w:eastAsia="lt-LT"/>
        </w:rPr>
        <w:t>EUROPOS VADOVŲ TARYBOS POSĖDIS 2021 M. KOVO 25-26 D.: LIETUVOS POZICIJOS</w:t>
      </w:r>
    </w:p>
    <w:p w:rsidR="008C7B6D" w:rsidRPr="007B60E0" w:rsidRDefault="008C7B6D" w:rsidP="00614E0F">
      <w:pPr>
        <w:pStyle w:val="BodyA0"/>
        <w:rPr>
          <w:rFonts w:eastAsia="Times New Roman Bold"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8C7B6D" w:rsidRPr="007B60E0" w:rsidTr="00383BD9">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8C7B6D" w:rsidRPr="007B60E0" w:rsidRDefault="008C7B6D" w:rsidP="00614E0F">
            <w:pPr>
              <w:spacing w:after="0" w:line="240" w:lineRule="auto"/>
              <w:jc w:val="both"/>
              <w:rPr>
                <w:rFonts w:ascii="Times New Roman" w:eastAsia="Batang" w:hAnsi="Times New Roman" w:cs="Times New Roman"/>
                <w:sz w:val="24"/>
                <w:szCs w:val="24"/>
                <w:lang w:val="lt-LT"/>
              </w:rPr>
            </w:pPr>
            <w:r w:rsidRPr="007B60E0">
              <w:rPr>
                <w:rFonts w:ascii="Times New Roman" w:hAnsi="Times New Roman" w:cs="Times New Roman"/>
                <w:sz w:val="24"/>
                <w:szCs w:val="24"/>
                <w:lang w:val="lt-LT"/>
              </w:rPr>
              <w:t xml:space="preserve">1. </w:t>
            </w:r>
            <w:r w:rsidR="009D74B0" w:rsidRPr="007B60E0">
              <w:rPr>
                <w:rFonts w:ascii="Times New Roman" w:hAnsi="Times New Roman" w:cs="Times New Roman"/>
                <w:b/>
                <w:bCs/>
                <w:sz w:val="24"/>
                <w:szCs w:val="24"/>
                <w:lang w:val="lt-LT"/>
              </w:rPr>
              <w:t>Atsako į COVID pandemiją koordinavimas</w:t>
            </w:r>
          </w:p>
          <w:p w:rsidR="008C7B6D" w:rsidRPr="007B60E0" w:rsidRDefault="008C7B6D" w:rsidP="00614E0F">
            <w:pPr>
              <w:pStyle w:val="BodyA0"/>
              <w:rPr>
                <w:rFonts w:hAnsi="Times New Roman" w:cs="Times New Roman"/>
                <w:lang w:val="lt-LT"/>
              </w:rPr>
            </w:pPr>
          </w:p>
        </w:tc>
      </w:tr>
    </w:tbl>
    <w:p w:rsidR="008C7B6D" w:rsidRPr="007B60E0" w:rsidRDefault="008C7B6D"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8C7B6D" w:rsidRPr="007B60E0" w:rsidTr="00383BD9">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8C7B6D" w:rsidRPr="007B60E0" w:rsidRDefault="008C7B6D" w:rsidP="00614E0F">
            <w:pPr>
              <w:pStyle w:val="BodyA0"/>
              <w:tabs>
                <w:tab w:val="left" w:pos="284"/>
              </w:tabs>
              <w:ind w:left="284" w:hanging="284"/>
              <w:rPr>
                <w:rFonts w:hAnsi="Times New Roman" w:cs="Times New Roman"/>
                <w:lang w:val="lt-LT"/>
              </w:rPr>
            </w:pPr>
            <w:r w:rsidRPr="007B60E0">
              <w:rPr>
                <w:rFonts w:hAnsi="Times New Roman" w:cs="Times New Roman"/>
                <w:lang w:val="lt-LT"/>
              </w:rPr>
              <w:t>2.</w:t>
            </w:r>
            <w:r w:rsidRPr="007B60E0">
              <w:rPr>
                <w:rFonts w:hAnsi="Times New Roman" w:cs="Times New Roman"/>
                <w:lang w:val="lt-LT"/>
              </w:rPr>
              <w:tab/>
              <w:t>Klausimo esmė</w:t>
            </w:r>
          </w:p>
          <w:p w:rsidR="008C7B6D" w:rsidRPr="007B60E0" w:rsidRDefault="008C7B6D" w:rsidP="00614E0F">
            <w:pPr>
              <w:pStyle w:val="BodyA0"/>
              <w:tabs>
                <w:tab w:val="left" w:pos="0"/>
              </w:tabs>
              <w:jc w:val="both"/>
              <w:rPr>
                <w:rFonts w:hAnsi="Times New Roman" w:cs="Times New Roman"/>
                <w:lang w:val="lt-LT"/>
              </w:rPr>
            </w:pPr>
          </w:p>
          <w:p w:rsidR="00A707C4" w:rsidRPr="007B60E0" w:rsidRDefault="0098636A" w:rsidP="00614E0F">
            <w:pPr>
              <w:pStyle w:val="NormalWeb"/>
              <w:spacing w:before="0" w:beforeAutospacing="0" w:after="0" w:afterAutospacing="0"/>
              <w:jc w:val="both"/>
              <w:rPr>
                <w:lang w:val="lt-LT"/>
              </w:rPr>
            </w:pPr>
            <w:r w:rsidRPr="007B60E0">
              <w:rPr>
                <w:lang w:val="lt-LT"/>
              </w:rPr>
              <w:t>EVT aptars COVID situaciją, įskaitant vakcinų autorizavimo,</w:t>
            </w:r>
            <w:r w:rsidR="00901EED" w:rsidRPr="007B60E0">
              <w:rPr>
                <w:lang w:val="lt-LT"/>
              </w:rPr>
              <w:t xml:space="preserve"> gamybos ir tiekimo spartinimą, </w:t>
            </w:r>
            <w:r w:rsidRPr="007B60E0">
              <w:rPr>
                <w:lang w:val="lt-LT"/>
              </w:rPr>
              <w:t>Europos Komisijos pasiūlymą „Bendras kelias saug</w:t>
            </w:r>
            <w:r w:rsidR="00901EED" w:rsidRPr="007B60E0">
              <w:rPr>
                <w:lang w:val="lt-LT"/>
              </w:rPr>
              <w:t xml:space="preserve">aus ir tvaraus atvėrimo link“, </w:t>
            </w:r>
            <w:r w:rsidRPr="007B60E0">
              <w:rPr>
                <w:lang w:val="lt-LT"/>
              </w:rPr>
              <w:t xml:space="preserve">tarptautinį ES solidarumą. Numatoma, kad EVT turėtų </w:t>
            </w:r>
            <w:r w:rsidR="00901EED" w:rsidRPr="007B60E0">
              <w:rPr>
                <w:lang w:val="lt-LT"/>
              </w:rPr>
              <w:t>pa</w:t>
            </w:r>
            <w:r w:rsidRPr="007B60E0">
              <w:rPr>
                <w:lang w:val="lt-LT"/>
              </w:rPr>
              <w:t xml:space="preserve">kviesti toliau dirbti dėl bendro požiūrio į laipsnišką įvestų ribojimų atlaisvinimą, kai tai leis epidemiologinė situacija. </w:t>
            </w:r>
            <w:r w:rsidR="00901EED" w:rsidRPr="007B60E0">
              <w:rPr>
                <w:lang w:val="lt-LT"/>
              </w:rPr>
              <w:t>Vadovai aptars Europos Komisijos kovo 17 d. pateiktą</w:t>
            </w:r>
            <w:r w:rsidRPr="007B60E0">
              <w:rPr>
                <w:lang w:val="lt-LT"/>
              </w:rPr>
              <w:t xml:space="preserve"> dokumentų paketą dėl saugaus ir tvaraus atsivėrimo, kurio pagrindinis pasiūlymas – </w:t>
            </w:r>
            <w:r w:rsidR="00901EED" w:rsidRPr="007B60E0">
              <w:rPr>
                <w:lang w:val="lt-LT"/>
              </w:rPr>
              <w:t>„</w:t>
            </w:r>
            <w:r w:rsidRPr="007B60E0">
              <w:rPr>
                <w:lang w:val="lt-LT"/>
              </w:rPr>
              <w:t>skaitmeninio žaliojo pažymėjimo</w:t>
            </w:r>
            <w:r w:rsidR="00901EED" w:rsidRPr="007B60E0">
              <w:rPr>
                <w:lang w:val="lt-LT"/>
              </w:rPr>
              <w:t>“</w:t>
            </w:r>
            <w:r w:rsidRPr="007B60E0">
              <w:rPr>
                <w:lang w:val="lt-LT"/>
              </w:rPr>
              <w:t xml:space="preserve"> sistemos sukūrimas. Toks pažymėjimas apimtų skiepijimą, testavimą ir persirgimo COVID-19 faktą. VN pripažintų pažymėjimus asmenų, paskiepytų Europos vaistų agentūros patvirtintomis vakcinomis. Tuo tarpu dėl skiepijimo kitomis vakcinomis VN turėtų spręsti pačios. </w:t>
            </w:r>
            <w:r w:rsidR="00901EED" w:rsidRPr="007B60E0">
              <w:rPr>
                <w:lang w:val="lt-LT"/>
              </w:rPr>
              <w:t>Be to, k</w:t>
            </w:r>
            <w:r w:rsidRPr="007B60E0">
              <w:rPr>
                <w:lang w:val="lt-LT"/>
              </w:rPr>
              <w:t>ovo 11 d. Komisija iki birželio pabaigos pratęsė COVID-19 vakcinos eksporto skaidrumo ir autorizavimo mechanizmą.</w:t>
            </w:r>
          </w:p>
        </w:tc>
      </w:tr>
    </w:tbl>
    <w:p w:rsidR="008C7B6D" w:rsidRPr="007B60E0" w:rsidRDefault="008C7B6D"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8C7B6D" w:rsidRPr="007B60E0" w:rsidTr="00383BD9">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8C7B6D" w:rsidRPr="007B60E0" w:rsidRDefault="008C7B6D" w:rsidP="00614E0F">
            <w:pPr>
              <w:pStyle w:val="BodyA0"/>
              <w:tabs>
                <w:tab w:val="left" w:pos="284"/>
              </w:tabs>
              <w:ind w:left="284" w:hanging="284"/>
              <w:rPr>
                <w:rFonts w:hAnsi="Times New Roman" w:cs="Times New Roman"/>
                <w:lang w:val="lt-LT"/>
              </w:rPr>
            </w:pPr>
            <w:r w:rsidRPr="007B60E0">
              <w:rPr>
                <w:rFonts w:hAnsi="Times New Roman" w:cs="Times New Roman"/>
                <w:lang w:val="lt-LT"/>
              </w:rPr>
              <w:t>3. Lietuvos pozicija</w:t>
            </w:r>
          </w:p>
          <w:p w:rsidR="009D74B0" w:rsidRPr="007B60E0" w:rsidRDefault="009D74B0" w:rsidP="00614E0F">
            <w:pPr>
              <w:pStyle w:val="NormalWeb"/>
              <w:spacing w:before="0" w:beforeAutospacing="0" w:after="0" w:afterAutospacing="0"/>
              <w:jc w:val="both"/>
              <w:rPr>
                <w:lang w:val="lt-LT"/>
              </w:rPr>
            </w:pPr>
          </w:p>
          <w:p w:rsidR="007A435D" w:rsidRPr="007B60E0" w:rsidRDefault="00E5414C" w:rsidP="00614E0F">
            <w:pPr>
              <w:pStyle w:val="NormalWeb"/>
              <w:spacing w:before="0" w:beforeAutospacing="0" w:after="0" w:afterAutospacing="0"/>
              <w:jc w:val="both"/>
              <w:rPr>
                <w:lang w:val="lt-LT"/>
              </w:rPr>
            </w:pPr>
            <w:r w:rsidRPr="007B60E0">
              <w:rPr>
                <w:lang w:val="lt-LT"/>
              </w:rPr>
              <w:t xml:space="preserve">Lietuva nuosekliai pabrėžia stiprų ES koordinuotą atsaką į pandemiją, įskaitant ir ribojančių priemonių švelninimo etapą, todėl reguliarios vadovų diskusijos šiuo klausimu yra labai svarbios. Remiame Europos Komisijos pastangas didinti vakcinų įsigijimo proceso skaidrumą, spartinti Europos vaistų agentūros vakcinų autorizacijos procesą, ieškoti būdų padidinti vakcinos gamybos apimtis ir užtikrinti reguliarų tiekimą (vakcinų gamintojų sutartinių įsipareigojimų laikymąsi). </w:t>
            </w:r>
            <w:r w:rsidR="007A435D" w:rsidRPr="007B60E0">
              <w:rPr>
                <w:lang w:val="lt-LT"/>
              </w:rPr>
              <w:t xml:space="preserve">Atsižvelgiant į vakcinų trūkumą ir poreikį užtikrinti ES savarankiškumą farmacijos srityje, ES privalo investuoti į Europos vaistų agentūros jau rekomenduotų vakcinų gamybos pajėgumus, ypač sukurtas ES įmonių, neeikvojant ribotų išteklių trečiųjų šalių siūlomiems projektams. Ypatingas dėmesys turi būti skiriamas didinti gamybos pajėgumus tų vakcinų, prie kurių vystymo prisidėjo ES. </w:t>
            </w:r>
          </w:p>
          <w:p w:rsidR="00E5414C" w:rsidRPr="007B60E0" w:rsidRDefault="00E5414C" w:rsidP="00614E0F">
            <w:pPr>
              <w:pStyle w:val="NormalWeb"/>
              <w:spacing w:before="0" w:beforeAutospacing="0" w:after="0" w:afterAutospacing="0"/>
              <w:jc w:val="both"/>
              <w:rPr>
                <w:lang w:val="lt-LT"/>
              </w:rPr>
            </w:pPr>
            <w:r w:rsidRPr="007B60E0">
              <w:rPr>
                <w:lang w:val="lt-LT"/>
              </w:rPr>
              <w:t>Akcentuojame bendrą 3 Baltijos valstybių pasiūlymą</w:t>
            </w:r>
            <w:r w:rsidR="003D5D84" w:rsidRPr="007B60E0">
              <w:rPr>
                <w:lang w:val="lt-LT"/>
              </w:rPr>
              <w:t xml:space="preserve">, </w:t>
            </w:r>
            <w:r w:rsidRPr="007B60E0">
              <w:rPr>
                <w:lang w:val="lt-LT"/>
              </w:rPr>
              <w:t xml:space="preserve">išreikštą kovo 9 d. Baltijos valstybių sveikatos ministrų laiške ir kovo 12 d. Baltijos Ministrų Tarybos </w:t>
            </w:r>
            <w:r w:rsidR="003D5D84" w:rsidRPr="007B60E0">
              <w:rPr>
                <w:lang w:val="lt-LT"/>
              </w:rPr>
              <w:t>(kurios posėdyje kartu su 3 Baltijos šalių ministrais pirmininkais dalyvavo ir Europos Komisijos pirmininkė) posėdyje, kuriame akcentuota dalinimosi vakcinomis ES viduje mechanizmo svarba (laikinų sprendimų nepakanka) bei išplatinta trijų šalių ministrų pirmininkų deklaracija „Dėl koordinuoto atsako į COVID ir bendradarbiavimo“.</w:t>
            </w:r>
            <w:r w:rsidRPr="007B60E0">
              <w:rPr>
                <w:lang w:val="lt-LT"/>
              </w:rPr>
              <w:t xml:space="preserve"> </w:t>
            </w:r>
            <w:r w:rsidR="003D5D84" w:rsidRPr="007B60E0">
              <w:rPr>
                <w:lang w:val="lt-LT"/>
              </w:rPr>
              <w:t xml:space="preserve">Joje – siūlymai </w:t>
            </w:r>
            <w:r w:rsidRPr="007B60E0">
              <w:rPr>
                <w:lang w:val="lt-LT"/>
              </w:rPr>
              <w:t>dėl laikino kitose valstybėse narėse nepanaudotų vakcinos likučių perskirstymo į sparčiausiai vakcinuojančias šalis</w:t>
            </w:r>
            <w:r w:rsidR="003D5D84" w:rsidRPr="007B60E0">
              <w:rPr>
                <w:lang w:val="lt-LT"/>
              </w:rPr>
              <w:t>, kartu p</w:t>
            </w:r>
            <w:r w:rsidRPr="007B60E0">
              <w:rPr>
                <w:lang w:val="lt-LT"/>
              </w:rPr>
              <w:t>abrėžia</w:t>
            </w:r>
            <w:r w:rsidR="003D5D84" w:rsidRPr="007B60E0">
              <w:rPr>
                <w:lang w:val="lt-LT"/>
              </w:rPr>
              <w:t>nt</w:t>
            </w:r>
            <w:r w:rsidRPr="007B60E0">
              <w:rPr>
                <w:lang w:val="lt-LT"/>
              </w:rPr>
              <w:t xml:space="preserve">, kad būtina išlaikyti solidarumą tarp ES valstybių narių, todėl kviečiame </w:t>
            </w:r>
            <w:r w:rsidR="00BA30A1" w:rsidRPr="007B60E0">
              <w:rPr>
                <w:lang w:val="lt-LT"/>
              </w:rPr>
              <w:t>Komisiją</w:t>
            </w:r>
            <w:r w:rsidRPr="007B60E0">
              <w:rPr>
                <w:lang w:val="lt-LT"/>
              </w:rPr>
              <w:t xml:space="preserve"> pasiūlyti aiškią procedūrą, kuri leistų, susiklosčius ypatingai sunkiai epidemiologinei situacijai, laikinai perskirstyti vakciną labiausiai paveiktoms valstybėms narėms</w:t>
            </w:r>
            <w:r w:rsidR="00A72339" w:rsidRPr="007B60E0">
              <w:rPr>
                <w:lang w:val="lt-LT"/>
              </w:rPr>
              <w:t>.</w:t>
            </w:r>
            <w:r w:rsidRPr="007B60E0">
              <w:rPr>
                <w:lang w:val="lt-LT"/>
              </w:rPr>
              <w:t xml:space="preserve"> </w:t>
            </w:r>
            <w:r w:rsidR="00A72339" w:rsidRPr="007B60E0">
              <w:rPr>
                <w:lang w:val="lt-LT"/>
              </w:rPr>
              <w:t>J</w:t>
            </w:r>
            <w:r w:rsidRPr="007B60E0">
              <w:rPr>
                <w:lang w:val="lt-LT"/>
              </w:rPr>
              <w:t>au anksčiau Lietuva ad hoc pagrindu yra perleidusi dalį vakcinų Austrijai, Čekijai ir Slovakijai, kai epidemiologinė padėt</w:t>
            </w:r>
            <w:r w:rsidR="00A72339" w:rsidRPr="007B60E0">
              <w:rPr>
                <w:lang w:val="lt-LT"/>
              </w:rPr>
              <w:t>is šiose šalyse buvo itin bloga</w:t>
            </w:r>
            <w:r w:rsidRPr="007B60E0">
              <w:rPr>
                <w:lang w:val="lt-LT"/>
              </w:rPr>
              <w:t>.</w:t>
            </w:r>
            <w:r w:rsidR="00B609EE" w:rsidRPr="007B60E0">
              <w:rPr>
                <w:lang w:val="lt-LT"/>
              </w:rPr>
              <w:t xml:space="preserve"> </w:t>
            </w:r>
            <w:r w:rsidR="007C2697" w:rsidRPr="007B60E0">
              <w:rPr>
                <w:lang w:val="lt-LT"/>
              </w:rPr>
              <w:t>Būtina pasisakyti, kad n</w:t>
            </w:r>
            <w:r w:rsidR="00B609EE" w:rsidRPr="007B60E0">
              <w:rPr>
                <w:lang w:val="lt-LT"/>
              </w:rPr>
              <w:t xml:space="preserve">epritariame siūlymams persiderėti egzistuojantį vakcinų </w:t>
            </w:r>
            <w:r w:rsidR="00B609EE" w:rsidRPr="007B60E0">
              <w:rPr>
                <w:lang w:val="lt-LT"/>
              </w:rPr>
              <w:lastRenderedPageBreak/>
              <w:t xml:space="preserve">paskirstymo tarp valstybių narių mechanizmą, </w:t>
            </w:r>
            <w:r w:rsidR="007C2697" w:rsidRPr="007B60E0">
              <w:rPr>
                <w:lang w:val="lt-LT"/>
              </w:rPr>
              <w:t>kuris remiasi pro rata principu, ir</w:t>
            </w:r>
            <w:r w:rsidR="00B609EE" w:rsidRPr="007B60E0">
              <w:rPr>
                <w:lang w:val="lt-LT"/>
              </w:rPr>
              <w:t xml:space="preserve"> </w:t>
            </w:r>
            <w:r w:rsidR="007C2697" w:rsidRPr="007B60E0">
              <w:rPr>
                <w:lang w:val="lt-LT"/>
              </w:rPr>
              <w:t>m</w:t>
            </w:r>
            <w:r w:rsidR="00B609EE" w:rsidRPr="007B60E0">
              <w:rPr>
                <w:lang w:val="lt-LT"/>
              </w:rPr>
              <w:t>anome, kad sprendimas vakcinų stygių jaučiančioms valstybėms narėms galėtų būti anksčiau minėtas laikinas perskirstymas iš valstybių, kuriose kaupiasi vakcinos perteklius.</w:t>
            </w:r>
            <w:r w:rsidRPr="007B60E0">
              <w:rPr>
                <w:lang w:val="lt-LT"/>
              </w:rPr>
              <w:t xml:space="preserve"> </w:t>
            </w:r>
          </w:p>
          <w:p w:rsidR="00E5414C" w:rsidRPr="007B60E0" w:rsidRDefault="00E5414C" w:rsidP="00614E0F">
            <w:pPr>
              <w:pStyle w:val="NormalWeb"/>
              <w:spacing w:before="0" w:beforeAutospacing="0" w:after="0" w:afterAutospacing="0"/>
              <w:jc w:val="both"/>
              <w:rPr>
                <w:lang w:val="lt-LT"/>
              </w:rPr>
            </w:pPr>
            <w:r w:rsidRPr="007B60E0">
              <w:rPr>
                <w:lang w:val="lt-LT"/>
              </w:rPr>
              <w:t xml:space="preserve">Remiame pastangas koordinuotai valdyti naujas viruso mutacijas (įskaitant Europos ligų prevencijos ir kontrolės centro pagalbą valstybėms narėms didinti sekoskaitos tyrimus). Pabrėžiame patvirtintų Tarybos rekomendacijų dėl koordinuoto požiūrio į laisvo judėjimo ribojimus ES viduje ir dėl nebūtinų kelionių iš trečiųjų šalių ribojimo įgyvendinimo svarbą, kartu užtikrinant Bendrosios rinkos ir Šengeno erdvės sklandų veikimą. </w:t>
            </w:r>
          </w:p>
          <w:p w:rsidR="00E5414C" w:rsidRPr="007B60E0" w:rsidRDefault="00E5414C" w:rsidP="00614E0F">
            <w:pPr>
              <w:pStyle w:val="NormalWeb"/>
              <w:spacing w:before="0" w:beforeAutospacing="0" w:after="0" w:afterAutospacing="0"/>
              <w:jc w:val="both"/>
              <w:rPr>
                <w:lang w:val="lt-LT"/>
              </w:rPr>
            </w:pPr>
            <w:r w:rsidRPr="007B60E0">
              <w:rPr>
                <w:lang w:val="lt-LT"/>
              </w:rPr>
              <w:t xml:space="preserve">Pritariame būtinybei susitarti dėl „skaitmeninio žaliojo pažymėjimo“. Būtume pasirengę svarstyti sertifikato naudojimą ne vien griežtai medicininiais tikslais, tačiau tik jei bus pasiektas sutarimas ES lygiu. Taip pat pažymime, kad galimybė naudoti sertifikatą kelionių palengvinimui gali būti svarstoma tik pagerėjus epidemiologinei situacijai ir reikšmingai išaugus paskiepytųjų skaičiui. Sveikiname EK pasiūlymą dėl šio įrankio, pritariame, kad jis apimtų informaciją apie skiepus, asmens persirgimą COVID-19 (antikūnus), atliktus testus nuo COVID-19 ir gautus neigiamus rezultatus. </w:t>
            </w:r>
            <w:r w:rsidR="00EF33BB" w:rsidRPr="007B60E0">
              <w:rPr>
                <w:lang w:val="lt-LT"/>
              </w:rPr>
              <w:t>Būtina pasisakyti</w:t>
            </w:r>
            <w:r w:rsidRPr="007B60E0">
              <w:rPr>
                <w:lang w:val="lt-LT"/>
              </w:rPr>
              <w:t>, kad turi būti pripažįstami tik sertifikatai, patvirtinantys skiepijimą Europos vaistų agentūros (EVA) patvirtinta vakcina</w:t>
            </w:r>
            <w:r w:rsidR="00BA33FD" w:rsidRPr="007B60E0">
              <w:rPr>
                <w:lang w:val="lt-LT"/>
              </w:rPr>
              <w:t>, o g</w:t>
            </w:r>
            <w:r w:rsidRPr="007B60E0">
              <w:rPr>
                <w:lang w:val="lt-LT"/>
              </w:rPr>
              <w:t>alimybė atskiroms valstybėms narėms priimti sertifikatus apie skiepijimą kitomis, EVA nepatvirtintomis, vakcinomis keltų abejonių dėl pavojaus piliečių sveikatai, o pati sertifikatų sistema taptų neaiški, nebūtų užtikrintas bendras ES požiūris. Be to, labai svarbu išreikšti pasitikėjimą EVA priimamais sprendimais.</w:t>
            </w:r>
          </w:p>
          <w:p w:rsidR="00F268D2" w:rsidRPr="007B60E0" w:rsidRDefault="002148FE" w:rsidP="00614E0F">
            <w:pPr>
              <w:pStyle w:val="NormalWeb"/>
              <w:spacing w:before="0" w:beforeAutospacing="0" w:after="0" w:afterAutospacing="0"/>
              <w:jc w:val="both"/>
              <w:rPr>
                <w:lang w:val="lt-LT"/>
              </w:rPr>
            </w:pPr>
            <w:r w:rsidRPr="007B60E0">
              <w:rPr>
                <w:lang w:val="lt-LT"/>
              </w:rPr>
              <w:t xml:space="preserve">Remiame EK kuriamą ES dalijimosi vakcina mechanizmą. Labai svarbu, kad, kai tik turėsime galimybę dalintis vakcina, šis mechanizmas jau būtų parengtas. Taip bus prisidedama prie globalių kovos su pandemija pastangų ir sustiprintas „Europos komandos“ vaidmuo. Nuosekliai pabrėžiame būtinybę palengvinti prieigą prie vakcinos ES partnerėms artimiausioje kaimynystėje. </w:t>
            </w:r>
          </w:p>
          <w:p w:rsidR="007A435D" w:rsidRPr="007B60E0" w:rsidRDefault="002148FE" w:rsidP="00614E0F">
            <w:pPr>
              <w:pStyle w:val="NormalWeb"/>
              <w:spacing w:before="0" w:beforeAutospacing="0" w:after="0" w:afterAutospacing="0"/>
              <w:jc w:val="both"/>
              <w:rPr>
                <w:lang w:val="lt-LT"/>
              </w:rPr>
            </w:pPr>
            <w:r w:rsidRPr="007B60E0">
              <w:rPr>
                <w:lang w:val="lt-LT"/>
              </w:rPr>
              <w:t>Atkreipiame dėmesį į skaidrios, išsamios ir visapusiškos informacijos apie vakciną svarbą, siekiant didinti visuomenės pasitikėjimą vakcina ir užkirsti kelią dezinformacijai ar klaidinančiai informacijai.</w:t>
            </w:r>
            <w:r w:rsidR="00B609EE" w:rsidRPr="007B60E0">
              <w:rPr>
                <w:lang w:val="lt-LT"/>
              </w:rPr>
              <w:t xml:space="preserve"> Komunikacija turi būti koordinuota, remtis Europos vaistų agentūros rekomendacijomis, siekiant išvengti vienašalių valstybių narių sprendimų.</w:t>
            </w:r>
            <w:r w:rsidR="007A435D" w:rsidRPr="007B60E0">
              <w:rPr>
                <w:lang w:val="lt-LT"/>
              </w:rPr>
              <w:t xml:space="preserve"> Būtina skubiai ištirti vakcinos AstraZeneca diskreditavimo atvejį, nustatant galimos dezinformacijos ir propagandos požymius. Akivaizdu, kad Rusija ir Kinija naudoja „vakcinų diplomatiją“ kaip geopolitinės įtakos instrumentą. Rusija savo ketinimų rimtumą vakcinų tiekime pirmiausia turi pademonstruoti per COVAX mechanizmą bei pasirūpinti savo gyventojų skiepijimu.</w:t>
            </w:r>
            <w:r w:rsidRPr="007B60E0">
              <w:rPr>
                <w:lang w:val="lt-LT"/>
              </w:rPr>
              <w:t xml:space="preserve"> </w:t>
            </w:r>
          </w:p>
          <w:p w:rsidR="008C7B6D" w:rsidRPr="007B60E0" w:rsidRDefault="00901EED" w:rsidP="00614E0F">
            <w:pPr>
              <w:pStyle w:val="NormalWeb"/>
              <w:spacing w:before="0" w:beforeAutospacing="0" w:after="0" w:afterAutospacing="0"/>
              <w:jc w:val="both"/>
              <w:rPr>
                <w:lang w:val="lt-LT"/>
              </w:rPr>
            </w:pPr>
            <w:r w:rsidRPr="007B60E0">
              <w:rPr>
                <w:lang w:val="lt-LT"/>
              </w:rPr>
              <w:t>V</w:t>
            </w:r>
            <w:r w:rsidR="002148FE" w:rsidRPr="007B60E0">
              <w:rPr>
                <w:lang w:val="lt-LT"/>
              </w:rPr>
              <w:t xml:space="preserve">alstybės narės turi pradėti diskusijas dėl egzistuojančių laikinų ribojimų švelninimo, kai tik bus palanki epidemiologinė situacija. Labai svarbu, kad šis procesas vyktų koordinuotai.   </w:t>
            </w:r>
          </w:p>
          <w:p w:rsidR="00D571B1" w:rsidRPr="007B60E0" w:rsidRDefault="00D571B1" w:rsidP="00614E0F">
            <w:pPr>
              <w:pStyle w:val="NormalWeb"/>
              <w:spacing w:before="0" w:beforeAutospacing="0" w:after="0" w:afterAutospacing="0"/>
              <w:jc w:val="both"/>
              <w:rPr>
                <w:lang w:val="lt-LT"/>
              </w:rPr>
            </w:pPr>
            <w:r w:rsidRPr="007B60E0">
              <w:rPr>
                <w:lang w:val="lt-LT"/>
              </w:rPr>
              <w:t>Esminės žinios, dėl kurių būtina pasisakyti EVT posėdyje:</w:t>
            </w:r>
          </w:p>
          <w:p w:rsidR="00D571B1" w:rsidRPr="007B60E0" w:rsidRDefault="00D571B1" w:rsidP="00614E0F">
            <w:pPr>
              <w:pStyle w:val="ListParagraph"/>
              <w:numPr>
                <w:ilvl w:val="0"/>
                <w:numId w:val="2"/>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 xml:space="preserve">Būtinybė </w:t>
            </w:r>
            <w:r w:rsidR="007B60E0">
              <w:rPr>
                <w:rFonts w:ascii="Times New Roman" w:hAnsi="Times New Roman" w:cs="Times New Roman"/>
                <w:sz w:val="24"/>
                <w:szCs w:val="24"/>
              </w:rPr>
              <w:t xml:space="preserve">didinti vakcinos gamybos apimtis, įskaitant </w:t>
            </w:r>
            <w:r w:rsidRPr="007B60E0">
              <w:rPr>
                <w:rFonts w:ascii="Times New Roman" w:hAnsi="Times New Roman" w:cs="Times New Roman"/>
                <w:sz w:val="24"/>
                <w:szCs w:val="24"/>
              </w:rPr>
              <w:t>gamintojų kontraktinių įsipareigojimų vykdym</w:t>
            </w:r>
            <w:r w:rsidR="007B60E0">
              <w:rPr>
                <w:rFonts w:ascii="Times New Roman" w:hAnsi="Times New Roman" w:cs="Times New Roman"/>
                <w:sz w:val="24"/>
                <w:szCs w:val="24"/>
              </w:rPr>
              <w:t>o užtikrinimą</w:t>
            </w:r>
          </w:p>
          <w:p w:rsidR="00D571B1" w:rsidRPr="007B60E0" w:rsidRDefault="00D571B1" w:rsidP="00614E0F">
            <w:pPr>
              <w:pStyle w:val="ListParagraph"/>
              <w:numPr>
                <w:ilvl w:val="0"/>
                <w:numId w:val="2"/>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 xml:space="preserve">Nepanaudotų vakcinos likučių perskirstymas į sparčiausiai vakcinuojančias šalis (3 Baltijos šalių premjerų bendras </w:t>
            </w:r>
            <w:r w:rsidR="007B60E0">
              <w:rPr>
                <w:rFonts w:ascii="Times New Roman" w:hAnsi="Times New Roman" w:cs="Times New Roman"/>
                <w:sz w:val="24"/>
                <w:szCs w:val="24"/>
              </w:rPr>
              <w:t>pareiškimas</w:t>
            </w:r>
            <w:r w:rsidRPr="007B60E0">
              <w:rPr>
                <w:rFonts w:ascii="Times New Roman" w:hAnsi="Times New Roman" w:cs="Times New Roman"/>
                <w:sz w:val="24"/>
                <w:szCs w:val="24"/>
              </w:rPr>
              <w:t xml:space="preserve">), </w:t>
            </w:r>
            <w:r w:rsidR="007B60E0">
              <w:rPr>
                <w:rFonts w:ascii="Times New Roman" w:hAnsi="Times New Roman" w:cs="Times New Roman"/>
                <w:sz w:val="24"/>
                <w:szCs w:val="24"/>
              </w:rPr>
              <w:t xml:space="preserve">solidarumo procedūra itin sunkioje padėtyje atsidūrusioms valstybėms narėms (laikinas vakcinos tiekimo padidinimas), </w:t>
            </w:r>
            <w:r w:rsidRPr="007B60E0">
              <w:rPr>
                <w:rFonts w:ascii="Times New Roman" w:hAnsi="Times New Roman" w:cs="Times New Roman"/>
                <w:sz w:val="24"/>
                <w:szCs w:val="24"/>
              </w:rPr>
              <w:t>nepritarimas siūlymams persiderėti egzistuojantį vakcinų paskirstymo tarp valstybių narių mechanizmą, kuris remiasi pro rata principu</w:t>
            </w:r>
          </w:p>
          <w:p w:rsidR="00D571B1" w:rsidRPr="007B60E0" w:rsidRDefault="00D571B1" w:rsidP="00614E0F">
            <w:pPr>
              <w:pStyle w:val="ListParagraph"/>
              <w:numPr>
                <w:ilvl w:val="0"/>
                <w:numId w:val="2"/>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lastRenderedPageBreak/>
              <w:t xml:space="preserve">“Žalieji sertifikatai” turi apimti ne tik skiepijimo, bet ir imuniteto informaciją. </w:t>
            </w:r>
            <w:r w:rsidR="007B60E0">
              <w:rPr>
                <w:rFonts w:ascii="Times New Roman" w:hAnsi="Times New Roman" w:cs="Times New Roman"/>
                <w:sz w:val="24"/>
                <w:szCs w:val="24"/>
              </w:rPr>
              <w:t>Turi būti pripažįstami sertifikatai, patvirtinantys skiepijimą tik EVA patvirtinta vakcina</w:t>
            </w:r>
            <w:r w:rsidRPr="007B60E0">
              <w:rPr>
                <w:rFonts w:ascii="Times New Roman" w:hAnsi="Times New Roman" w:cs="Times New Roman"/>
                <w:sz w:val="24"/>
                <w:szCs w:val="24"/>
              </w:rPr>
              <w:t xml:space="preserve">. </w:t>
            </w:r>
          </w:p>
          <w:p w:rsidR="00D571B1" w:rsidRPr="007B60E0" w:rsidRDefault="00D571B1" w:rsidP="00614E0F">
            <w:pPr>
              <w:pStyle w:val="ListParagraph"/>
              <w:numPr>
                <w:ilvl w:val="0"/>
                <w:numId w:val="2"/>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 xml:space="preserve">Stiprinti vieningą komunikacijos politiką; komunikacija turi būti koordinuota, remtis </w:t>
            </w:r>
            <w:r w:rsidR="002D4DFD" w:rsidRPr="007B60E0">
              <w:rPr>
                <w:rFonts w:ascii="Times New Roman" w:hAnsi="Times New Roman" w:cs="Times New Roman"/>
                <w:sz w:val="24"/>
                <w:szCs w:val="24"/>
              </w:rPr>
              <w:t>E</w:t>
            </w:r>
            <w:r w:rsidR="007334C4" w:rsidRPr="007B60E0">
              <w:rPr>
                <w:rFonts w:ascii="Times New Roman" w:hAnsi="Times New Roman" w:cs="Times New Roman"/>
                <w:sz w:val="24"/>
                <w:szCs w:val="24"/>
              </w:rPr>
              <w:t>VA</w:t>
            </w:r>
            <w:r w:rsidRPr="007B60E0">
              <w:rPr>
                <w:rFonts w:ascii="Times New Roman" w:hAnsi="Times New Roman" w:cs="Times New Roman"/>
                <w:sz w:val="24"/>
                <w:szCs w:val="24"/>
              </w:rPr>
              <w:t xml:space="preserve"> rekomendacijomis, siekiant išvengti vienašalių valstybių narių sprendimų.</w:t>
            </w:r>
          </w:p>
          <w:p w:rsidR="00D571B1" w:rsidRPr="007B60E0" w:rsidRDefault="00D571B1" w:rsidP="00614E0F">
            <w:pPr>
              <w:pStyle w:val="NormalWeb"/>
              <w:spacing w:before="0" w:beforeAutospacing="0" w:after="0" w:afterAutospacing="0"/>
              <w:jc w:val="both"/>
              <w:rPr>
                <w:lang w:val="lt-LT"/>
              </w:rPr>
            </w:pPr>
          </w:p>
        </w:tc>
      </w:tr>
    </w:tbl>
    <w:p w:rsidR="001801A1" w:rsidRPr="007B60E0" w:rsidRDefault="001801A1" w:rsidP="00614E0F">
      <w:pPr>
        <w:spacing w:after="0" w:line="240" w:lineRule="auto"/>
        <w:jc w:val="both"/>
        <w:rPr>
          <w:rFonts w:ascii="Times New Roman" w:hAnsi="Times New Roman" w:cs="Times New Roman"/>
          <w:sz w:val="24"/>
          <w:szCs w:val="24"/>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9D74B0" w:rsidRPr="007B60E0" w:rsidRDefault="009D74B0" w:rsidP="00614E0F">
            <w:pPr>
              <w:spacing w:after="0" w:line="240" w:lineRule="auto"/>
              <w:jc w:val="both"/>
              <w:rPr>
                <w:rFonts w:ascii="Times New Roman" w:eastAsia="Batang" w:hAnsi="Times New Roman" w:cs="Times New Roman"/>
                <w:sz w:val="24"/>
                <w:szCs w:val="24"/>
                <w:lang w:val="lt-LT"/>
              </w:rPr>
            </w:pPr>
            <w:r w:rsidRPr="007B60E0">
              <w:rPr>
                <w:rFonts w:ascii="Times New Roman" w:hAnsi="Times New Roman" w:cs="Times New Roman"/>
                <w:sz w:val="24"/>
                <w:szCs w:val="24"/>
                <w:lang w:val="lt-LT"/>
              </w:rPr>
              <w:t xml:space="preserve">1. </w:t>
            </w:r>
            <w:r w:rsidRPr="007B60E0">
              <w:rPr>
                <w:rFonts w:ascii="Times New Roman" w:hAnsi="Times New Roman" w:cs="Times New Roman"/>
                <w:b/>
                <w:bCs/>
                <w:sz w:val="24"/>
                <w:szCs w:val="24"/>
                <w:lang w:val="lt-LT"/>
              </w:rPr>
              <w:t>Vidaus rinka, skaitmeninimas, pramonės ir ekonominė politika</w:t>
            </w:r>
          </w:p>
          <w:p w:rsidR="009D74B0" w:rsidRPr="007B60E0" w:rsidRDefault="009D74B0" w:rsidP="00614E0F">
            <w:pPr>
              <w:pStyle w:val="BodyA0"/>
              <w:rPr>
                <w:rFonts w:hAnsi="Times New Roman" w:cs="Times New Roman"/>
                <w:lang w:val="lt-LT"/>
              </w:rPr>
            </w:pPr>
          </w:p>
        </w:tc>
      </w:tr>
    </w:tbl>
    <w:p w:rsidR="009D74B0" w:rsidRPr="007B60E0" w:rsidRDefault="009D74B0"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9D74B0" w:rsidRPr="007B60E0" w:rsidRDefault="009D74B0" w:rsidP="00614E0F">
            <w:pPr>
              <w:pStyle w:val="BodyA0"/>
              <w:tabs>
                <w:tab w:val="left" w:pos="284"/>
              </w:tabs>
              <w:ind w:left="284" w:hanging="284"/>
              <w:rPr>
                <w:rFonts w:hAnsi="Times New Roman" w:cs="Times New Roman"/>
                <w:lang w:val="lt-LT"/>
              </w:rPr>
            </w:pPr>
            <w:r w:rsidRPr="007B60E0">
              <w:rPr>
                <w:rFonts w:hAnsi="Times New Roman" w:cs="Times New Roman"/>
                <w:lang w:val="lt-LT"/>
              </w:rPr>
              <w:t>2.</w:t>
            </w:r>
            <w:r w:rsidRPr="007B60E0">
              <w:rPr>
                <w:rFonts w:hAnsi="Times New Roman" w:cs="Times New Roman"/>
                <w:lang w:val="lt-LT"/>
              </w:rPr>
              <w:tab/>
              <w:t>Klausimo esmė</w:t>
            </w:r>
          </w:p>
          <w:p w:rsidR="009D74B0" w:rsidRPr="007B60E0" w:rsidRDefault="009D74B0" w:rsidP="00614E0F">
            <w:pPr>
              <w:pStyle w:val="BodyA0"/>
              <w:tabs>
                <w:tab w:val="left" w:pos="0"/>
              </w:tabs>
              <w:jc w:val="both"/>
              <w:rPr>
                <w:rFonts w:hAnsi="Times New Roman" w:cs="Times New Roman"/>
                <w:lang w:val="lt-LT"/>
              </w:rPr>
            </w:pPr>
          </w:p>
          <w:p w:rsidR="009D74B0" w:rsidRPr="007B60E0" w:rsidRDefault="009D74B0" w:rsidP="00614E0F">
            <w:pPr>
              <w:pStyle w:val="NormalWeb"/>
              <w:spacing w:before="0" w:beforeAutospacing="0" w:after="0" w:afterAutospacing="0"/>
              <w:jc w:val="both"/>
              <w:rPr>
                <w:lang w:val="lt-LT"/>
              </w:rPr>
            </w:pPr>
            <w:r w:rsidRPr="007B60E0">
              <w:rPr>
                <w:lang w:val="lt-LT"/>
              </w:rPr>
              <w:t>EVT išvadų projekte pabrėžiama vidaus rinkos, konkurencingumo ir atsparumo svarba, raginama atnaujinti pramonės strategiją, atsižvelgiant į žaliąjį ir skaitmeninį perėjimą, pabrėžiamas darbo rinkos politikos ir įgūdžių vaidmuo. Komisijos komunikatas dėl "2030 m. skaitmeninio kompaso" numatomas, kaip būsimosios skaitmeninės politikos pagrindas. Raginama geriau išnaudoti duomenis ir skaitmenines technologijas, išlaikant duomenų apsaugos principus ir žmogaus teises, o taip pat  adekvačią teisėsaugos prieigą prie duomenų. ES teisės aktų leidėjai raginami spartinti darbą ties Skaitmeninių rinkų, Skaitmeninių paslaugų ir Duomenų valdymo aktais. Pabrėžiama būtinybė spręsti skaitmenizacijos sukeliamus apmokestinimo klausimus - reiškiama preferencija tarptautiniam sprendimui dėl skaitmeninių paslaugų apmokestinimo, tačiau nesant tarptautinio sutarimo, reiškiamas pasiryžimas dirbti ES lygiu. EVT taip pat turėtų patvirtinti išvadas dėl Europos semestro.</w:t>
            </w:r>
          </w:p>
        </w:tc>
      </w:tr>
    </w:tbl>
    <w:p w:rsidR="009D74B0" w:rsidRPr="007B60E0" w:rsidRDefault="009D74B0"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9D74B0" w:rsidRPr="007B60E0" w:rsidRDefault="009D74B0" w:rsidP="00614E0F">
            <w:pPr>
              <w:pStyle w:val="BodyA0"/>
              <w:tabs>
                <w:tab w:val="left" w:pos="284"/>
              </w:tabs>
              <w:ind w:left="284" w:hanging="284"/>
              <w:rPr>
                <w:rFonts w:hAnsi="Times New Roman" w:cs="Times New Roman"/>
                <w:lang w:val="lt-LT"/>
              </w:rPr>
            </w:pPr>
            <w:r w:rsidRPr="007B60E0">
              <w:rPr>
                <w:rFonts w:hAnsi="Times New Roman" w:cs="Times New Roman"/>
                <w:lang w:val="lt-LT"/>
              </w:rPr>
              <w:t>3. Lietuvos pozicija</w:t>
            </w:r>
          </w:p>
          <w:p w:rsidR="009D74B0" w:rsidRPr="007B60E0" w:rsidRDefault="009D74B0" w:rsidP="00614E0F">
            <w:pPr>
              <w:pStyle w:val="NormalWeb"/>
              <w:spacing w:before="0" w:beforeAutospacing="0" w:after="0" w:afterAutospacing="0"/>
              <w:jc w:val="both"/>
              <w:rPr>
                <w:lang w:val="lt-LT"/>
              </w:rPr>
            </w:pPr>
            <w:r w:rsidRPr="007B60E0">
              <w:rPr>
                <w:lang w:val="lt-LT"/>
              </w:rPr>
              <w:t xml:space="preserve">Vidaus rinkai būtinas nuolatinis vadovų dėmesys, kadangi būtina naikinti vis dar išliekančias kliūtis vidaus rinkos funkcionavimui, įskaitant paslaugas, o tai - būtina siekiant konkurencingesnės ir atsparesnės Europos ekonomikos. Itin svarbu išlaikyti ekonomikos atvirumą, tuo pačiu garantuojant lygias veikimo sąlygas. Kartu labai svarbu spartinti ES skaitmeninį perėjimą. </w:t>
            </w:r>
          </w:p>
          <w:p w:rsidR="009D74B0" w:rsidRPr="007B60E0" w:rsidRDefault="009D74B0" w:rsidP="00614E0F">
            <w:pPr>
              <w:pStyle w:val="NormalWeb"/>
              <w:spacing w:before="0" w:beforeAutospacing="0" w:after="0" w:afterAutospacing="0"/>
              <w:jc w:val="both"/>
              <w:rPr>
                <w:lang w:val="lt-LT"/>
              </w:rPr>
            </w:pPr>
            <w:r w:rsidRPr="007B60E0">
              <w:rPr>
                <w:lang w:val="lt-LT"/>
              </w:rPr>
              <w:t xml:space="preserve">Atvira, integruota ir be kliūčių veikianti vidaus rinka gali užtikrinti tvarų ES ekonomikos augimą, investicijų pritraukimą, greitesnę skaitmeninę ir žaliąją pertvarką bei ES konkurencingumą globaliame pasaulyje. </w:t>
            </w:r>
            <w:r w:rsidR="00F268D2" w:rsidRPr="007B60E0">
              <w:rPr>
                <w:lang w:val="lt-LT"/>
              </w:rPr>
              <w:t>Būtina pasisakyti, kad l</w:t>
            </w:r>
            <w:r w:rsidRPr="007B60E0">
              <w:rPr>
                <w:lang w:val="lt-LT"/>
              </w:rPr>
              <w:t xml:space="preserve">aukiame didesnių ambicijų iš Europos Komisijos, įgyvendinant 2020 m. kovo mėn. vidaus rinkos paketą, kuris įgalintų šių tikslų pasiekimą. Pasisakome už pramonės svarbą skatinant tvarų augimą, užimtumą ir ekonominį vystymąsi Europoje. Kartu pabrėžiame pramonės indėlį į ES regionų, visuomenės ir piliečių klestėjimą, atsakingai kuriant vertę, skatinant inovacijas, prisidedant prie aplinkos ir klimato tikslų bei tuo pačiu užtikrinant socialinę sanglaudą ir įtraukiant bei stiprinant ekonominę konvergenciją. </w:t>
            </w:r>
          </w:p>
          <w:p w:rsidR="009D74B0" w:rsidRPr="007B60E0" w:rsidRDefault="009D74B0" w:rsidP="00614E0F">
            <w:pPr>
              <w:pStyle w:val="NormalWeb"/>
              <w:spacing w:before="0" w:beforeAutospacing="0" w:after="0" w:afterAutospacing="0"/>
              <w:jc w:val="both"/>
              <w:rPr>
                <w:lang w:val="lt-LT"/>
              </w:rPr>
            </w:pPr>
            <w:r w:rsidRPr="007B60E0">
              <w:rPr>
                <w:lang w:val="lt-LT"/>
              </w:rPr>
              <w:t xml:space="preserve">Šiame kontekste Lietuva sveikina 2021 m. vasario 19 d. Europos Komisijos pateiktą poveikio vertinimą dėl tam tikrų mobilumo paketo nuostatų - vilkiko gražinimo kas 8 savaites ir mišriųjų vežimų ribojimo nuostatų. Patvirtintas didelis neigiamas poveikis aplinkai (prieštarauja Žaliojo kurso politikai) bei galima neigiama įtaka bendrosios rinkos </w:t>
            </w:r>
            <w:r w:rsidRPr="007B60E0">
              <w:rPr>
                <w:lang w:val="lt-LT"/>
              </w:rPr>
              <w:lastRenderedPageBreak/>
              <w:t>veikimui. Komisijos išvadoje teigiama, kad privalomas vilkikų grąžinimas padidintų anglies dvideginio emisijas iki 4,6 proc. Lietuva tikisi, kad Europos Komisija kuo greičiau pateiks naują teisinį pasiūlymą taisyti vežėjų veiklą griežtinančias taisykles, dar prieš nepriimtinų nuostatų įsigaliojimą 2022 m. vasario mėn.</w:t>
            </w:r>
          </w:p>
          <w:p w:rsidR="009D74B0" w:rsidRPr="007B60E0" w:rsidRDefault="009D74B0" w:rsidP="00614E0F">
            <w:pPr>
              <w:pStyle w:val="NormalWeb"/>
              <w:spacing w:before="0" w:beforeAutospacing="0" w:after="0" w:afterAutospacing="0"/>
              <w:jc w:val="both"/>
              <w:rPr>
                <w:lang w:val="lt-LT"/>
              </w:rPr>
            </w:pPr>
            <w:r w:rsidRPr="007B60E0">
              <w:rPr>
                <w:lang w:val="lt-LT"/>
              </w:rPr>
              <w:t>Europos skaitmeninio dešimtmečio iniciatyva turi ne tik pateikti ambicingą šios srities darbotvarkę, bet ir derėti su atvira bendrąja rinka ir sustiprintu pasauliniu bendradarbiavimu. Svarbu išlaikyti politikos priemones proporcingas ir tinkamas, kad būtų išvengta kliūčių inovacijoms ir būtų padidintas skaitmeninio sektoriaus konkurencingumas. Kelias į skaitmeninę ateitį turi būti grindžiamas skaitmeniniais įgūdžiais, viešojo sektoriaus duomenų atvėrimu, prieiga prie viešųjų elektroninių paslaugų, saugios ir patikimos infrastruktūros kūrimu. Atsižvelgiant į Skaitmeninių paslaugų akto (DSA) ir Duomenų valdymo akto (DMA) pasiūlymų aprėptį ir kompleksiškumą, labai svarbu pasiūlymų svarstymuose užtikrinti ne tiek greitą, kiek kokybišką darbą. Pasisakome, kad pasiūlymais nebūtų sukurta neproporcinga našta ar perteklinis reguliavimas. Diskusijų dėl DSA ir DMA kontekste taip pat pabrėžiame kovos Europos demokratijos veiksmų plano (EDAP) svarbą ir būtinybę kovoti prieš dezinformaciją.</w:t>
            </w:r>
          </w:p>
          <w:p w:rsidR="009D74B0" w:rsidRPr="007B60E0" w:rsidRDefault="009D74B0" w:rsidP="00614E0F">
            <w:pPr>
              <w:pStyle w:val="NormalWeb"/>
              <w:spacing w:before="0" w:beforeAutospacing="0" w:after="0" w:afterAutospacing="0"/>
              <w:jc w:val="both"/>
              <w:rPr>
                <w:lang w:val="lt-LT"/>
              </w:rPr>
            </w:pPr>
            <w:r w:rsidRPr="007B60E0">
              <w:rPr>
                <w:lang w:val="lt-LT"/>
              </w:rPr>
              <w:t>Rengiantis EVT posėdžiui, kovo 9 d. 8 ES šalių (LT, CZ, LU, BE, LV, SE, IE, PL) vadovai išsiuntė laišką EVT ir EK pirmininkams dėl ES skaitmeninės darbotvarkės įgyvendinimo, kuriame pabrėžiama, kad ES turi rodyti lyderystę skaitmeninimo srityje, diegdama inovacijas, kurdama naujas technologijas ir skatindama partnerystes tarp privataus ir viešojo sektoriaus. Kartu ES turi stiprinti tarptautinį bendradarbiavimą, išlaikydama ir plėsdama technologinius ir rizikų valdymo pajėgumus. ES turi užtikrinti mokslinių tyrimų ir inovacijų komercializavimą bei ypatingą dėmesį skirti darbuotojų mokymui ir perkvalifikavimui. Svarbu užtikrinti, kad ES taptų atsakingos skaitmeninės transformacijos lydere. Europos konkurencingumas turėtų būti pagrįstas efektyviu, patikimu, skaidriu, saugiu ir atsakingu duomenų naudojimu, atitinkančiu bendras ES vertybes. ES bendroji rinka išlieka esmine ekonominio atsigavimo, gerovės, Europos verslo produktyvumo ir konkurencingumo sąlyga. Bendrosios skaitmeninės rinkos sukūrimas leistų pašalinti kliūtis prekybai prekėmis ir paslaugomis internetu ir užtikrintų laisvą duomenų judėjimą.</w:t>
            </w:r>
          </w:p>
          <w:p w:rsidR="009D74B0" w:rsidRPr="007B60E0" w:rsidRDefault="009D74B0" w:rsidP="00614E0F">
            <w:pPr>
              <w:pStyle w:val="NormalWeb"/>
              <w:spacing w:before="0" w:beforeAutospacing="0" w:after="0" w:afterAutospacing="0"/>
              <w:jc w:val="both"/>
              <w:rPr>
                <w:lang w:val="lt-LT"/>
              </w:rPr>
            </w:pPr>
            <w:r w:rsidRPr="007B60E0">
              <w:rPr>
                <w:lang w:val="lt-LT"/>
              </w:rPr>
              <w:t>Palaikome tolimesnį Europos semestro tobulinimą, siekiant jį suderinti su Ekonomikos gaivinimo ir atsparumo didinimo priemone. Pasisakome už efektyvų ir spartų nacionalinių reformų bei Tarybos rekomendacijų ir Ekonomikos gaivinimo ir atsparumo didinimo planų įgyvendinimą. Palaikome EK paruoštas 2021 m. ekonominės politikos rekomendacijas euro zonai.</w:t>
            </w:r>
          </w:p>
          <w:p w:rsidR="00614E0F" w:rsidRPr="007B60E0" w:rsidRDefault="00614E0F" w:rsidP="00614E0F">
            <w:pPr>
              <w:pStyle w:val="NormalWeb"/>
              <w:spacing w:before="0" w:beforeAutospacing="0" w:after="0" w:afterAutospacing="0"/>
              <w:jc w:val="both"/>
              <w:rPr>
                <w:lang w:val="lt-LT"/>
              </w:rPr>
            </w:pPr>
            <w:r w:rsidRPr="007B60E0">
              <w:rPr>
                <w:lang w:val="lt-LT"/>
              </w:rPr>
              <w:t>Esminės žinios, dėl kurių siūloma pasisakyti EVT posėdyje:</w:t>
            </w:r>
          </w:p>
          <w:p w:rsidR="00614E0F" w:rsidRPr="007B60E0" w:rsidRDefault="00614E0F" w:rsidP="00614E0F">
            <w:pPr>
              <w:pStyle w:val="ListParagraph"/>
              <w:numPr>
                <w:ilvl w:val="0"/>
                <w:numId w:val="3"/>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Reikia toliau tęsti vidaus rinkos kūrimą, naikinti kliūtis, ypač paslaugų srityje</w:t>
            </w:r>
          </w:p>
          <w:p w:rsidR="00614E0F" w:rsidRPr="007B60E0" w:rsidRDefault="00614E0F" w:rsidP="00614E0F">
            <w:pPr>
              <w:pStyle w:val="ListParagraph"/>
              <w:numPr>
                <w:ilvl w:val="0"/>
                <w:numId w:val="3"/>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 xml:space="preserve">Skaitmeniniam perėjimui svarbu patikima infrastruktūra, viešųjų duomenų atvėrimas, skaitmeniniai įgūdžiai. </w:t>
            </w:r>
          </w:p>
          <w:p w:rsidR="00614E0F" w:rsidRPr="007B60E0" w:rsidRDefault="00614E0F" w:rsidP="00614E0F">
            <w:pPr>
              <w:pStyle w:val="ListParagraph"/>
              <w:numPr>
                <w:ilvl w:val="0"/>
                <w:numId w:val="3"/>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Didinti skaitmeninio sektoriaus konkurencingumą, išlaikant atvirą vidaus rinką ir tarptautinį bendradarbiavimą (bendras 8 vadovų laiškas)</w:t>
            </w:r>
          </w:p>
          <w:p w:rsidR="00614E0F" w:rsidRPr="007B60E0" w:rsidRDefault="00614E0F" w:rsidP="00614E0F">
            <w:pPr>
              <w:pStyle w:val="ListParagraph"/>
              <w:numPr>
                <w:ilvl w:val="0"/>
                <w:numId w:val="3"/>
              </w:numPr>
              <w:spacing w:after="0" w:line="240" w:lineRule="auto"/>
              <w:jc w:val="both"/>
              <w:rPr>
                <w:rFonts w:ascii="Times New Roman" w:hAnsi="Times New Roman" w:cs="Times New Roman"/>
                <w:sz w:val="24"/>
                <w:szCs w:val="24"/>
              </w:rPr>
            </w:pPr>
            <w:r w:rsidRPr="007B60E0">
              <w:rPr>
                <w:rFonts w:ascii="Times New Roman" w:hAnsi="Times New Roman" w:cs="Times New Roman"/>
                <w:sz w:val="24"/>
                <w:szCs w:val="24"/>
              </w:rPr>
              <w:t>Svarbu kovoti prieš dezinformaciją internete.</w:t>
            </w:r>
          </w:p>
          <w:p w:rsidR="00614E0F" w:rsidRPr="007B60E0" w:rsidRDefault="00614E0F" w:rsidP="00614E0F">
            <w:pPr>
              <w:pStyle w:val="NormalWeb"/>
              <w:spacing w:before="0" w:beforeAutospacing="0" w:after="0" w:afterAutospacing="0"/>
              <w:jc w:val="both"/>
              <w:rPr>
                <w:lang w:val="lt-LT"/>
              </w:rPr>
            </w:pPr>
          </w:p>
        </w:tc>
      </w:tr>
    </w:tbl>
    <w:p w:rsidR="009D74B0" w:rsidRPr="007B60E0" w:rsidRDefault="009D74B0" w:rsidP="00614E0F">
      <w:pPr>
        <w:spacing w:after="0" w:line="240" w:lineRule="auto"/>
        <w:jc w:val="both"/>
        <w:rPr>
          <w:rFonts w:ascii="Times New Roman" w:hAnsi="Times New Roman" w:cs="Times New Roman"/>
          <w:sz w:val="24"/>
          <w:szCs w:val="24"/>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9D74B0" w:rsidRPr="007B60E0" w:rsidRDefault="009D74B0" w:rsidP="00614E0F">
            <w:pPr>
              <w:spacing w:after="0" w:line="240" w:lineRule="auto"/>
              <w:jc w:val="both"/>
              <w:rPr>
                <w:rFonts w:ascii="Times New Roman" w:eastAsia="Batang" w:hAnsi="Times New Roman" w:cs="Times New Roman"/>
                <w:sz w:val="24"/>
                <w:szCs w:val="24"/>
                <w:lang w:val="lt-LT"/>
              </w:rPr>
            </w:pPr>
            <w:r w:rsidRPr="007B60E0">
              <w:rPr>
                <w:rFonts w:ascii="Times New Roman" w:hAnsi="Times New Roman" w:cs="Times New Roman"/>
                <w:sz w:val="24"/>
                <w:szCs w:val="24"/>
                <w:lang w:val="lt-LT"/>
              </w:rPr>
              <w:lastRenderedPageBreak/>
              <w:t xml:space="preserve">1. </w:t>
            </w:r>
            <w:r w:rsidRPr="007B60E0">
              <w:rPr>
                <w:rFonts w:ascii="Times New Roman" w:hAnsi="Times New Roman" w:cs="Times New Roman"/>
                <w:b/>
                <w:bCs/>
                <w:sz w:val="24"/>
                <w:szCs w:val="24"/>
                <w:lang w:val="lt-LT"/>
              </w:rPr>
              <w:t>Euro zonos viršūnių susitikimas</w:t>
            </w:r>
          </w:p>
          <w:p w:rsidR="009D74B0" w:rsidRPr="007B60E0" w:rsidRDefault="009D74B0" w:rsidP="00614E0F">
            <w:pPr>
              <w:pStyle w:val="BodyA0"/>
              <w:rPr>
                <w:rFonts w:hAnsi="Times New Roman" w:cs="Times New Roman"/>
                <w:lang w:val="lt-LT"/>
              </w:rPr>
            </w:pPr>
          </w:p>
        </w:tc>
      </w:tr>
    </w:tbl>
    <w:p w:rsidR="009D74B0" w:rsidRPr="007B60E0" w:rsidRDefault="009D74B0"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9D74B0" w:rsidRPr="007B60E0" w:rsidRDefault="009D74B0" w:rsidP="00614E0F">
            <w:pPr>
              <w:pStyle w:val="BodyA0"/>
              <w:tabs>
                <w:tab w:val="left" w:pos="284"/>
              </w:tabs>
              <w:ind w:left="284" w:hanging="284"/>
              <w:rPr>
                <w:rFonts w:hAnsi="Times New Roman" w:cs="Times New Roman"/>
                <w:lang w:val="lt-LT"/>
              </w:rPr>
            </w:pPr>
            <w:r w:rsidRPr="007B60E0">
              <w:rPr>
                <w:rFonts w:hAnsi="Times New Roman" w:cs="Times New Roman"/>
                <w:lang w:val="lt-LT"/>
              </w:rPr>
              <w:t>2.</w:t>
            </w:r>
            <w:r w:rsidRPr="007B60E0">
              <w:rPr>
                <w:rFonts w:hAnsi="Times New Roman" w:cs="Times New Roman"/>
                <w:lang w:val="lt-LT"/>
              </w:rPr>
              <w:tab/>
              <w:t>Klausimo esmė</w:t>
            </w:r>
          </w:p>
          <w:p w:rsidR="009D74B0" w:rsidRPr="007B60E0" w:rsidRDefault="009D74B0" w:rsidP="00614E0F">
            <w:pPr>
              <w:pStyle w:val="NormalWeb"/>
              <w:spacing w:before="0" w:beforeAutospacing="0" w:after="0" w:afterAutospacing="0"/>
              <w:jc w:val="both"/>
              <w:rPr>
                <w:lang w:val="lt-LT"/>
              </w:rPr>
            </w:pPr>
            <w:r w:rsidRPr="007B60E0">
              <w:rPr>
                <w:lang w:val="lt-LT"/>
              </w:rPr>
              <w:t>Euro zonos viršūnių susitikime vadovai aptars tarptautinio euro vaidmens stiprinimo klausimą remiantis 2021 m. sausio 19 d. Europos Komisijos komunikatu dėl ES ekonomikos ir finansų sistemos atvirumo, stiprybės ir atsparumo didinimo. Diskusijose didžiausias dėmesys turėtų būti skiriamas pirmajam komunikato blokui – euro stiprinimui ir kiek jis gali prisidėti prie žalinimo, skaitmeninimo, tvaraus finansavimo tikslų.</w:t>
            </w:r>
          </w:p>
        </w:tc>
      </w:tr>
    </w:tbl>
    <w:p w:rsidR="009D74B0" w:rsidRPr="007B60E0" w:rsidRDefault="009D74B0" w:rsidP="00614E0F">
      <w:pPr>
        <w:pStyle w:val="BodyA0"/>
        <w:rPr>
          <w:rFonts w:hAnsi="Times New Roman" w:cs="Times New Roman"/>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D74B0" w:rsidRPr="007B60E0" w:rsidTr="006A52D3">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9D74B0" w:rsidRPr="007B60E0" w:rsidRDefault="009D74B0" w:rsidP="00614E0F">
            <w:pPr>
              <w:pStyle w:val="BodyA0"/>
              <w:tabs>
                <w:tab w:val="left" w:pos="284"/>
              </w:tabs>
              <w:ind w:left="284" w:hanging="284"/>
              <w:rPr>
                <w:rFonts w:hAnsi="Times New Roman" w:cs="Times New Roman"/>
                <w:lang w:val="lt-LT"/>
              </w:rPr>
            </w:pPr>
            <w:r w:rsidRPr="007B60E0">
              <w:rPr>
                <w:rFonts w:hAnsi="Times New Roman" w:cs="Times New Roman"/>
                <w:lang w:val="lt-LT"/>
              </w:rPr>
              <w:t>3. Lietuvos pozicija</w:t>
            </w:r>
          </w:p>
          <w:p w:rsidR="009D74B0" w:rsidRPr="007B60E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p>
          <w:p w:rsidR="009D74B0" w:rsidRPr="007B60E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r w:rsidRPr="007B60E0">
              <w:rPr>
                <w:rFonts w:ascii="Times New Roman" w:eastAsia="Times New Roman" w:hAnsi="Times New Roman" w:cs="Times New Roman"/>
                <w:color w:val="000000"/>
                <w:sz w:val="24"/>
                <w:szCs w:val="24"/>
                <w:lang w:val="lt-LT" w:eastAsia="lt-LT"/>
              </w:rPr>
              <w:t>Euro zonos viršūnių kontekste sutinkame, kad stipresnis tarptautinis euro vaidmuo prisidėtų prie ekonominės ir finansų sistemos stabilumo ir atsparumo. Bankų sąjunga yra vienas iš svarbiausių projektų, todėl būtina dėti pastangas jam užbaigti, sukuriant trūkstamą trečiąjį Bankų sąjungos ramstį – bendrą Europos indėlių draudimo sistemą. Diskusijos parodė, kad valstybės narės nori koreguoti ir tobulinti krizių valdymo sistemą. Ji yra glaudžiai susijusi su bendrąja ES indėlių draudimo sistema, kurią galima pradėti nuo hibridinio EDIS modelio, toliau siekiant pilnaverčio EDIS, kaip galutinio tikslo. Diskusijos dėl rinkos integracijos  atskleidė, kaip svarbu atsižvelgti į atskirų valstybių narių, ypač priimančiųjų (</w:t>
            </w:r>
            <w:r w:rsidRPr="007B60E0">
              <w:rPr>
                <w:rFonts w:ascii="Times New Roman" w:eastAsia="Times New Roman" w:hAnsi="Times New Roman" w:cs="Times New Roman"/>
                <w:i/>
                <w:color w:val="000000"/>
                <w:sz w:val="24"/>
                <w:szCs w:val="24"/>
                <w:lang w:val="lt-LT" w:eastAsia="lt-LT"/>
              </w:rPr>
              <w:t>host</w:t>
            </w:r>
            <w:r w:rsidRPr="007B60E0">
              <w:rPr>
                <w:rFonts w:ascii="Times New Roman" w:eastAsia="Times New Roman" w:hAnsi="Times New Roman" w:cs="Times New Roman"/>
                <w:color w:val="000000"/>
                <w:sz w:val="24"/>
                <w:szCs w:val="24"/>
                <w:lang w:val="lt-LT" w:eastAsia="lt-LT"/>
              </w:rPr>
              <w:t>), finansinį stabilumą ir kad norint sumažinti riziką ribojančius reikalavimus, visų pirma turi būti nustatyti pakankami saugikliai.</w:t>
            </w:r>
          </w:p>
          <w:p w:rsidR="009D74B0" w:rsidRPr="007B60E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r w:rsidRPr="007B60E0">
              <w:rPr>
                <w:rFonts w:ascii="Times New Roman" w:eastAsia="Times New Roman" w:hAnsi="Times New Roman" w:cs="Times New Roman"/>
                <w:color w:val="000000"/>
                <w:sz w:val="24"/>
                <w:szCs w:val="24"/>
                <w:lang w:val="lt-LT" w:eastAsia="lt-LT"/>
              </w:rPr>
              <w:t>Manome, kad Kapitalo rinkų sąjunga padės sustiprinti Europos finansų sistemą, paskatins ekonomikos plėtrą bei didins ES konkurencingumą globaliu mastu.</w:t>
            </w:r>
          </w:p>
          <w:p w:rsidR="009D74B0" w:rsidRPr="007B60E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p>
          <w:p w:rsidR="009D74B0" w:rsidRPr="007B60E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r w:rsidRPr="007B60E0">
              <w:rPr>
                <w:rFonts w:ascii="Times New Roman" w:eastAsia="Times New Roman" w:hAnsi="Times New Roman" w:cs="Times New Roman"/>
                <w:color w:val="000000"/>
                <w:sz w:val="24"/>
                <w:szCs w:val="24"/>
                <w:lang w:val="lt-LT" w:eastAsia="lt-LT"/>
              </w:rPr>
              <w:t>Pritariame tolimesnėms diskusijoms dėl skaitmeninio euro. Pasisakome už tai, kad priimant sprendimus būtų užtikrintas finansinis stabilumas, finansų sistemos vientisumas bei monetarinės politikos tikslai, taip pat tinkamai įvertintos visos kitos susijusios rizikos, pvz., vartotojų apsaugos, pinigų plovimo rizikos. Taip pat palaikome Europos Komisijos komunikate numatytas priemones, skirtas žalesnės finansų sistemos kūrimui.</w:t>
            </w:r>
          </w:p>
          <w:p w:rsidR="009D74B0" w:rsidRDefault="009D74B0" w:rsidP="00614E0F">
            <w:pPr>
              <w:spacing w:after="0" w:line="240" w:lineRule="auto"/>
              <w:jc w:val="both"/>
              <w:rPr>
                <w:rFonts w:ascii="Times New Roman" w:eastAsia="Times New Roman" w:hAnsi="Times New Roman" w:cs="Times New Roman"/>
                <w:color w:val="000000"/>
                <w:sz w:val="24"/>
                <w:szCs w:val="24"/>
                <w:lang w:val="lt-LT" w:eastAsia="lt-LT"/>
              </w:rPr>
            </w:pPr>
            <w:r w:rsidRPr="007B60E0">
              <w:rPr>
                <w:rFonts w:ascii="Times New Roman" w:eastAsia="Times New Roman" w:hAnsi="Times New Roman" w:cs="Times New Roman"/>
                <w:color w:val="000000"/>
                <w:sz w:val="24"/>
                <w:szCs w:val="24"/>
                <w:lang w:val="lt-LT" w:eastAsia="lt-LT"/>
              </w:rPr>
              <w:t xml:space="preserve">Teigiamai vertiname Europos Komisijos pateiktas preliminarias gaires dėl </w:t>
            </w:r>
            <w:r w:rsidRPr="007B60E0">
              <w:rPr>
                <w:rFonts w:ascii="Times New Roman" w:eastAsia="Calibri" w:hAnsi="Times New Roman" w:cs="Times New Roman"/>
                <w:sz w:val="24"/>
                <w:szCs w:val="24"/>
                <w:lang w:val="lt-LT"/>
              </w:rPr>
              <w:t xml:space="preserve">Stabilumo ir augimo pakto bendrosios išimties taikymo (GEC) </w:t>
            </w:r>
            <w:r w:rsidRPr="007B60E0">
              <w:rPr>
                <w:rFonts w:ascii="Times New Roman" w:eastAsia="Times New Roman" w:hAnsi="Times New Roman" w:cs="Times New Roman"/>
                <w:color w:val="000000"/>
                <w:sz w:val="24"/>
                <w:szCs w:val="24"/>
                <w:lang w:val="lt-LT" w:eastAsia="lt-LT"/>
              </w:rPr>
              <w:t xml:space="preserve">taikymo ir jos deaktyvavimo kriterijų. Sutinkame, kad fiskalinė politika artimiausiu metu turi išlikti skatinančioji. Nors negalima nutraukti pagalbos priemonių per anksti, tačiau neturime užmiršti vidutinio ir ilgojo laikotarpio finansų tvarumo klausimų. Šiuo atžvilgiu svarbu, kad EK pereitų prie diversifikuotų fiskalinių rekomendacijų šalims narėms, kurios apimtų ne tik kokybinį, bet ir kiekybinį elementą (orientuojantis į vidutinio laikotarpio išlaidas). Esame atviri diskusijai dėl geriausio laiko, kada turėtų būti grįžtama prie perviršinio deficito procedūros formalaus taikymo. </w:t>
            </w:r>
          </w:p>
          <w:p w:rsidR="001A02BA" w:rsidRDefault="001A02BA" w:rsidP="001A02BA">
            <w:pPr>
              <w:pStyle w:val="NormalWeb"/>
              <w:spacing w:before="0" w:beforeAutospacing="0" w:after="0" w:afterAutospacing="0"/>
              <w:jc w:val="both"/>
              <w:rPr>
                <w:lang w:val="lt-LT"/>
              </w:rPr>
            </w:pPr>
          </w:p>
          <w:p w:rsidR="001A02BA" w:rsidRDefault="001A02BA" w:rsidP="001A02BA">
            <w:pPr>
              <w:pStyle w:val="NormalWeb"/>
              <w:spacing w:before="0" w:beforeAutospacing="0" w:after="0" w:afterAutospacing="0"/>
              <w:jc w:val="both"/>
              <w:rPr>
                <w:lang w:val="lt-LT"/>
              </w:rPr>
            </w:pPr>
            <w:r w:rsidRPr="00500127">
              <w:rPr>
                <w:lang w:val="lt-LT"/>
              </w:rPr>
              <w:t xml:space="preserve">Esminės žinios, </w:t>
            </w:r>
            <w:r>
              <w:rPr>
                <w:lang w:val="lt-LT"/>
              </w:rPr>
              <w:t>dėl kurių siūloma pasisakyti</w:t>
            </w:r>
            <w:r w:rsidRPr="00500127">
              <w:rPr>
                <w:lang w:val="lt-LT"/>
              </w:rPr>
              <w:t>:</w:t>
            </w:r>
          </w:p>
          <w:p w:rsidR="001A02BA" w:rsidRDefault="001A02BA" w:rsidP="001A02BA">
            <w:pPr>
              <w:pStyle w:val="NormalWeb"/>
              <w:numPr>
                <w:ilvl w:val="0"/>
                <w:numId w:val="4"/>
              </w:numPr>
              <w:spacing w:before="0" w:beforeAutospacing="0" w:after="0" w:afterAutospacing="0"/>
              <w:jc w:val="both"/>
              <w:rPr>
                <w:lang w:val="lt-LT"/>
              </w:rPr>
            </w:pPr>
            <w:r w:rsidRPr="00500127">
              <w:rPr>
                <w:lang w:val="lt-LT"/>
              </w:rPr>
              <w:t>stipresnis tarptautinis euro vaidmuo prisidėtų prie ekonominės ir finansų s</w:t>
            </w:r>
            <w:r>
              <w:rPr>
                <w:lang w:val="lt-LT"/>
              </w:rPr>
              <w:t>istemos stabilumo ir atsparumo;</w:t>
            </w:r>
          </w:p>
          <w:p w:rsidR="003F3DE6" w:rsidRDefault="001A02BA" w:rsidP="001A02BA">
            <w:pPr>
              <w:pStyle w:val="NormalWeb"/>
              <w:numPr>
                <w:ilvl w:val="0"/>
                <w:numId w:val="4"/>
              </w:numPr>
              <w:spacing w:before="0" w:beforeAutospacing="0" w:after="0" w:afterAutospacing="0"/>
              <w:jc w:val="both"/>
              <w:rPr>
                <w:lang w:val="lt-LT"/>
              </w:rPr>
            </w:pPr>
            <w:r w:rsidRPr="00500127">
              <w:rPr>
                <w:lang w:val="lt-LT"/>
              </w:rPr>
              <w:lastRenderedPageBreak/>
              <w:t xml:space="preserve">Bankų sąjunga yra vienas </w:t>
            </w:r>
            <w:r>
              <w:rPr>
                <w:lang w:val="lt-LT"/>
              </w:rPr>
              <w:t>esminių</w:t>
            </w:r>
            <w:r w:rsidRPr="00500127">
              <w:rPr>
                <w:lang w:val="lt-LT"/>
              </w:rPr>
              <w:t xml:space="preserve"> projektų, todėl būtina dėti pastangas jam užbaigti</w:t>
            </w:r>
            <w:r>
              <w:rPr>
                <w:lang w:val="lt-LT"/>
              </w:rPr>
              <w:t xml:space="preserve">; </w:t>
            </w:r>
            <w:r w:rsidRPr="00500127">
              <w:rPr>
                <w:lang w:val="lt-LT"/>
              </w:rPr>
              <w:t>Kapitalo rinkų sąjunga padės sustiprinti Europos finansų sistemą, paskatins ekonomikos plėtrą bei didins ES konkurencingumą globaliu mastu</w:t>
            </w:r>
            <w:r>
              <w:rPr>
                <w:lang w:val="lt-LT"/>
              </w:rPr>
              <w:t>;</w:t>
            </w:r>
          </w:p>
          <w:p w:rsidR="001A02BA" w:rsidRPr="003F3DE6" w:rsidRDefault="001A02BA" w:rsidP="001A02BA">
            <w:pPr>
              <w:pStyle w:val="NormalWeb"/>
              <w:numPr>
                <w:ilvl w:val="0"/>
                <w:numId w:val="4"/>
              </w:numPr>
              <w:spacing w:before="0" w:beforeAutospacing="0" w:after="0" w:afterAutospacing="0"/>
              <w:jc w:val="both"/>
              <w:rPr>
                <w:lang w:val="lt-LT"/>
              </w:rPr>
            </w:pPr>
            <w:bookmarkStart w:id="0" w:name="_GoBack"/>
            <w:bookmarkEnd w:id="0"/>
            <w:r w:rsidRPr="003F3DE6">
              <w:rPr>
                <w:lang w:val="lt-LT"/>
              </w:rPr>
              <w:t>Pritariame tolimesnėms diskusijoms dėl skaitmeninio euro.</w:t>
            </w:r>
          </w:p>
        </w:tc>
      </w:tr>
    </w:tbl>
    <w:p w:rsidR="009D74B0" w:rsidRPr="007B60E0" w:rsidRDefault="009D74B0" w:rsidP="00614E0F">
      <w:pPr>
        <w:spacing w:after="0" w:line="240" w:lineRule="auto"/>
        <w:jc w:val="both"/>
        <w:rPr>
          <w:rFonts w:ascii="Times New Roman" w:hAnsi="Times New Roman" w:cs="Times New Roman"/>
          <w:sz w:val="24"/>
          <w:szCs w:val="24"/>
          <w:lang w:val="lt-LT"/>
        </w:rPr>
      </w:pPr>
    </w:p>
    <w:p w:rsidR="009D74B0" w:rsidRPr="007B60E0" w:rsidRDefault="009A1AA5" w:rsidP="00614E0F">
      <w:pPr>
        <w:pStyle w:val="NormalWeb"/>
        <w:spacing w:before="0" w:beforeAutospacing="0" w:after="0" w:afterAutospacing="0"/>
        <w:jc w:val="both"/>
        <w:rPr>
          <w:lang w:val="lt-LT"/>
        </w:rPr>
      </w:pPr>
      <w:r>
        <w:rPr>
          <w:i/>
          <w:lang w:val="lt-LT"/>
        </w:rPr>
        <w:t>P</w:t>
      </w:r>
      <w:r w:rsidR="009D74B0" w:rsidRPr="007B60E0">
        <w:rPr>
          <w:i/>
          <w:lang w:val="lt-LT"/>
        </w:rPr>
        <w:t xml:space="preserve">ozicija dėl Turkijos ir Rusijos pateikiama atskirai. </w:t>
      </w:r>
    </w:p>
    <w:p w:rsidR="009D74B0" w:rsidRPr="007B60E0" w:rsidRDefault="009D74B0" w:rsidP="00614E0F">
      <w:pPr>
        <w:spacing w:after="0" w:line="240" w:lineRule="auto"/>
        <w:jc w:val="both"/>
        <w:rPr>
          <w:rFonts w:ascii="Times New Roman" w:hAnsi="Times New Roman" w:cs="Times New Roman"/>
          <w:sz w:val="24"/>
          <w:szCs w:val="24"/>
          <w:lang w:val="lt-LT"/>
        </w:rPr>
      </w:pPr>
    </w:p>
    <w:sectPr w:rsidR="009D74B0" w:rsidRPr="007B60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07C"/>
    <w:multiLevelType w:val="hybridMultilevel"/>
    <w:tmpl w:val="639C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638DA"/>
    <w:multiLevelType w:val="hybridMultilevel"/>
    <w:tmpl w:val="81BEF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EB35B0"/>
    <w:multiLevelType w:val="multilevel"/>
    <w:tmpl w:val="011A921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3" w15:restartNumberingAfterBreak="0">
    <w:nsid w:val="656C25D0"/>
    <w:multiLevelType w:val="hybridMultilevel"/>
    <w:tmpl w:val="4EBE3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A1"/>
    <w:rsid w:val="00021870"/>
    <w:rsid w:val="000723B1"/>
    <w:rsid w:val="000B414A"/>
    <w:rsid w:val="000C3A36"/>
    <w:rsid w:val="001801A1"/>
    <w:rsid w:val="001856B0"/>
    <w:rsid w:val="001A02BA"/>
    <w:rsid w:val="001A598C"/>
    <w:rsid w:val="001C0911"/>
    <w:rsid w:val="001E3FA2"/>
    <w:rsid w:val="002148FE"/>
    <w:rsid w:val="00245188"/>
    <w:rsid w:val="002522E8"/>
    <w:rsid w:val="00255D7F"/>
    <w:rsid w:val="002C4D9B"/>
    <w:rsid w:val="002C5BA0"/>
    <w:rsid w:val="002D4DFD"/>
    <w:rsid w:val="002F6A6D"/>
    <w:rsid w:val="003057FB"/>
    <w:rsid w:val="003655C1"/>
    <w:rsid w:val="00380E82"/>
    <w:rsid w:val="003C68BE"/>
    <w:rsid w:val="003D5D84"/>
    <w:rsid w:val="003F3DE6"/>
    <w:rsid w:val="004E1CA5"/>
    <w:rsid w:val="00551716"/>
    <w:rsid w:val="005F2D99"/>
    <w:rsid w:val="00614E0F"/>
    <w:rsid w:val="0063489F"/>
    <w:rsid w:val="00654136"/>
    <w:rsid w:val="006F3FE7"/>
    <w:rsid w:val="006F5E23"/>
    <w:rsid w:val="00717E31"/>
    <w:rsid w:val="007334C4"/>
    <w:rsid w:val="007A435D"/>
    <w:rsid w:val="007B60E0"/>
    <w:rsid w:val="007C24A0"/>
    <w:rsid w:val="007C2697"/>
    <w:rsid w:val="00824556"/>
    <w:rsid w:val="008A16F4"/>
    <w:rsid w:val="008C7B6D"/>
    <w:rsid w:val="008D7B98"/>
    <w:rsid w:val="00901EED"/>
    <w:rsid w:val="009051C7"/>
    <w:rsid w:val="009138EC"/>
    <w:rsid w:val="0094403D"/>
    <w:rsid w:val="0098636A"/>
    <w:rsid w:val="009A1AA5"/>
    <w:rsid w:val="009D74B0"/>
    <w:rsid w:val="00A502C0"/>
    <w:rsid w:val="00A707C4"/>
    <w:rsid w:val="00A72339"/>
    <w:rsid w:val="00A734EA"/>
    <w:rsid w:val="00B609EE"/>
    <w:rsid w:val="00B91983"/>
    <w:rsid w:val="00BA30A1"/>
    <w:rsid w:val="00BA33FD"/>
    <w:rsid w:val="00BE3972"/>
    <w:rsid w:val="00C803F0"/>
    <w:rsid w:val="00C93732"/>
    <w:rsid w:val="00CC2ECD"/>
    <w:rsid w:val="00D402F2"/>
    <w:rsid w:val="00D571B1"/>
    <w:rsid w:val="00D730B4"/>
    <w:rsid w:val="00D74CD8"/>
    <w:rsid w:val="00DE4A8C"/>
    <w:rsid w:val="00E5414C"/>
    <w:rsid w:val="00E57E61"/>
    <w:rsid w:val="00EF33BB"/>
    <w:rsid w:val="00EF4B75"/>
    <w:rsid w:val="00F268D2"/>
    <w:rsid w:val="00F7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B57A"/>
  <w15:chartTrackingRefBased/>
  <w15:docId w15:val="{72C8D4AC-5BF2-48A0-A6A1-92B8F5DA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xebaseoffice2010silver">
    <w:name w:val="dxebase_office2010silver"/>
    <w:basedOn w:val="DefaultParagraphFont"/>
    <w:rsid w:val="001801A1"/>
  </w:style>
  <w:style w:type="paragraph" w:customStyle="1" w:styleId="bodya">
    <w:name w:val="bodya"/>
    <w:basedOn w:val="Normal"/>
    <w:rsid w:val="008C7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0">
    <w:name w:val="Body A"/>
    <w:rsid w:val="008C7B6D"/>
    <w:pPr>
      <w:spacing w:after="0" w:line="240" w:lineRule="auto"/>
    </w:pPr>
    <w:rPr>
      <w:rFonts w:ascii="Times New Roman" w:eastAsia="Arial Unicode MS" w:hAnsi="Arial Unicode MS" w:cs="Arial Unicode MS"/>
      <w:color w:val="000000"/>
      <w:sz w:val="24"/>
      <w:szCs w:val="24"/>
      <w:u w:color="000000"/>
    </w:rPr>
  </w:style>
  <w:style w:type="paragraph" w:styleId="ListParagraph">
    <w:name w:val="List Paragraph"/>
    <w:aliases w:val="List Paragraph (numbered (a)),References,WB List Paragraph,Bullets,Paragraphe de liste1,Akapit z listą,Dot pt,F5 List Paragraph,List Paragraph1,Recommendation,List Paragraph11,Numerowanie,Kolorowa lista — akcent 11,Akapit z listą1,3,L,2"/>
    <w:basedOn w:val="Normal"/>
    <w:link w:val="ListParagraphChar"/>
    <w:uiPriority w:val="34"/>
    <w:qFormat/>
    <w:rsid w:val="008C7B6D"/>
    <w:pPr>
      <w:ind w:left="720"/>
      <w:contextualSpacing/>
    </w:pPr>
    <w:rPr>
      <w:lang w:val="lt-LT"/>
    </w:rPr>
  </w:style>
  <w:style w:type="paragraph" w:styleId="BalloonText">
    <w:name w:val="Balloon Text"/>
    <w:basedOn w:val="Normal"/>
    <w:link w:val="BalloonTextChar"/>
    <w:uiPriority w:val="99"/>
    <w:semiHidden/>
    <w:unhideWhenUsed/>
    <w:rsid w:val="007A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35D"/>
    <w:rPr>
      <w:rFonts w:ascii="Segoe UI" w:hAnsi="Segoe UI" w:cs="Segoe UI"/>
      <w:sz w:val="18"/>
      <w:szCs w:val="18"/>
    </w:rPr>
  </w:style>
  <w:style w:type="character" w:customStyle="1" w:styleId="ListParagraphChar">
    <w:name w:val="List Paragraph Char"/>
    <w:aliases w:val="List Paragraph (numbered (a)) Char,References Char,WB List Paragraph Char,Bullets Char,Paragraphe de liste1 Char,Akapit z listą Char,Dot pt Char,F5 List Paragraph Char,List Paragraph1 Char,Recommendation Char,List Paragraph11 Char"/>
    <w:basedOn w:val="DefaultParagraphFont"/>
    <w:link w:val="ListParagraph"/>
    <w:uiPriority w:val="34"/>
    <w:qFormat/>
    <w:locked/>
    <w:rsid w:val="00D571B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58452">
      <w:bodyDiv w:val="1"/>
      <w:marLeft w:val="0"/>
      <w:marRight w:val="0"/>
      <w:marTop w:val="0"/>
      <w:marBottom w:val="0"/>
      <w:divBdr>
        <w:top w:val="none" w:sz="0" w:space="0" w:color="auto"/>
        <w:left w:val="none" w:sz="0" w:space="0" w:color="auto"/>
        <w:bottom w:val="none" w:sz="0" w:space="0" w:color="auto"/>
        <w:right w:val="none" w:sz="0" w:space="0" w:color="auto"/>
      </w:divBdr>
    </w:div>
    <w:div w:id="895361635">
      <w:bodyDiv w:val="1"/>
      <w:marLeft w:val="0"/>
      <w:marRight w:val="0"/>
      <w:marTop w:val="0"/>
      <w:marBottom w:val="0"/>
      <w:divBdr>
        <w:top w:val="none" w:sz="0" w:space="0" w:color="auto"/>
        <w:left w:val="none" w:sz="0" w:space="0" w:color="auto"/>
        <w:bottom w:val="none" w:sz="0" w:space="0" w:color="auto"/>
        <w:right w:val="none" w:sz="0" w:space="0" w:color="auto"/>
      </w:divBdr>
      <w:divsChild>
        <w:div w:id="631179569">
          <w:marLeft w:val="0"/>
          <w:marRight w:val="0"/>
          <w:marTop w:val="0"/>
          <w:marBottom w:val="0"/>
          <w:divBdr>
            <w:top w:val="none" w:sz="0" w:space="0" w:color="auto"/>
            <w:left w:val="none" w:sz="0" w:space="0" w:color="auto"/>
            <w:bottom w:val="none" w:sz="0" w:space="0" w:color="auto"/>
            <w:right w:val="none" w:sz="0" w:space="0" w:color="auto"/>
          </w:divBdr>
        </w:div>
      </w:divsChild>
    </w:div>
    <w:div w:id="9626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10093</Words>
  <Characters>5754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2021-03-22T11:46:00Z</dcterms:created>
  <dc:creator>Tomas KUPRYS</dc:creator>
  <cp:lastModifiedBy>Tomas KUPRYS</cp:lastModifiedBy>
  <dcterms:modified xsi:type="dcterms:W3CDTF">2021-03-22T11:47:00Z</dcterms:modified>
  <cp:revision>4</cp:revision>
</cp:coreProperties>
</file>